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39" w:lineRule="auto"/>
        <w:rPr>
          <w:sz w:val="20"/>
          <w:szCs w:val="20"/>
          <w:color w:val="auto"/>
        </w:rPr>
      </w:pPr>
      <w:r>
        <w:rPr>
          <w:rFonts w:ascii="Courier New" w:cs="Courier New" w:eastAsia="Courier New" w:hAnsi="Courier New"/>
          <w:sz w:val="21"/>
          <w:szCs w:val="21"/>
          <w:b w:val="1"/>
          <w:bCs w:val="1"/>
          <w:color w:val="FF0000"/>
        </w:rPr>
        <w:drawing>
          <wp:anchor simplePos="0" relativeHeight="251657728" behindDoc="1" locked="0" layoutInCell="0" allowOverlap="1">
            <wp:simplePos x="0" y="0"/>
            <wp:positionH relativeFrom="page">
              <wp:posOffset>57150</wp:posOffset>
            </wp:positionH>
            <wp:positionV relativeFrom="page">
              <wp:posOffset>31750</wp:posOffset>
            </wp:positionV>
            <wp:extent cx="7442200" cy="8782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7442200" cy="878205"/>
                    </a:xfrm>
                    <a:prstGeom prst="rect">
                      <a:avLst/>
                    </a:prstGeom>
                    <a:noFill/>
                  </pic:spPr>
                </pic:pic>
              </a:graphicData>
            </a:graphic>
          </wp:anchor>
        </w:drawing>
        <w:t>MIUR.AOODRAB.REGISTRO UFFICIALE(U).0006966.23-11-2016</w:t>
      </w:r>
    </w:p>
    <w:p>
      <w:pPr>
        <w:sectPr>
          <w:pgSz w:w="11900" w:h="16838" w:orient="portrait"/>
          <w:cols w:equalWidth="0" w:num="1">
            <w:col w:w="6980"/>
          </w:cols>
          <w:pgMar w:left="2460" w:top="87" w:right="2460" w:bottom="415"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22" w:lineRule="exact"/>
        <w:rPr>
          <w:sz w:val="24"/>
          <w:szCs w:val="24"/>
          <w:color w:val="auto"/>
        </w:rPr>
      </w:pPr>
    </w:p>
    <w:p>
      <w:pPr>
        <w:ind w:left="300"/>
        <w:spacing w:after="0"/>
        <w:rPr>
          <w:sz w:val="20"/>
          <w:szCs w:val="20"/>
          <w:color w:val="auto"/>
        </w:rPr>
      </w:pPr>
      <w:r>
        <w:rPr>
          <w:rFonts w:ascii="Times New Roman" w:cs="Times New Roman" w:eastAsia="Times New Roman" w:hAnsi="Times New Roman"/>
          <w:sz w:val="40"/>
          <w:szCs w:val="40"/>
          <w:color w:val="auto"/>
        </w:rPr>
        <w:t>Ministero dell’Istruzione, dell’Università e della Ricerca</w:t>
      </w:r>
    </w:p>
    <w:p>
      <w:pPr>
        <w:spacing w:after="0" w:line="157" w:lineRule="exact"/>
        <w:rPr>
          <w:sz w:val="24"/>
          <w:szCs w:val="24"/>
          <w:color w:val="auto"/>
        </w:rPr>
      </w:pPr>
    </w:p>
    <w:p>
      <w:pPr>
        <w:ind w:left="1660"/>
        <w:spacing w:after="0"/>
        <w:rPr>
          <w:sz w:val="20"/>
          <w:szCs w:val="20"/>
          <w:color w:val="auto"/>
        </w:rPr>
      </w:pPr>
      <w:r>
        <w:rPr>
          <w:rFonts w:ascii="Times New Roman" w:cs="Times New Roman" w:eastAsia="Times New Roman" w:hAnsi="Times New Roman"/>
          <w:sz w:val="44"/>
          <w:szCs w:val="44"/>
          <w:color w:val="auto"/>
        </w:rPr>
        <w:t>Ufficio Scolastico Regionale per l’Abruzzo</w:t>
      </w:r>
    </w:p>
    <w:p>
      <w:pPr>
        <w:spacing w:after="0" w:line="56" w:lineRule="exact"/>
        <w:rPr>
          <w:sz w:val="24"/>
          <w:szCs w:val="24"/>
          <w:color w:val="auto"/>
        </w:rPr>
      </w:pPr>
    </w:p>
    <w:p>
      <w:pPr>
        <w:ind w:left="274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314" w:lineRule="exact"/>
        <w:rPr>
          <w:sz w:val="24"/>
          <w:szCs w:val="24"/>
          <w:color w:val="auto"/>
        </w:rPr>
      </w:pPr>
    </w:p>
    <w:p>
      <w:pPr>
        <w:ind w:left="460"/>
        <w:spacing w:after="0"/>
        <w:rPr>
          <w:sz w:val="20"/>
          <w:szCs w:val="20"/>
          <w:color w:val="auto"/>
        </w:rPr>
      </w:pPr>
      <w:r>
        <w:rPr>
          <w:rFonts w:ascii="Verdana" w:cs="Verdana" w:eastAsia="Verdana" w:hAnsi="Verdana"/>
          <w:sz w:val="22"/>
          <w:szCs w:val="22"/>
          <w:b w:val="1"/>
          <w:bCs w:val="1"/>
          <w:color w:val="auto"/>
        </w:rPr>
        <w:t>ATTO UNILATERALE - ART. 40 COMMA 3 TER DEL D.LGS. N.165/2001</w:t>
      </w:r>
    </w:p>
    <w:p>
      <w:pPr>
        <w:spacing w:after="0" w:line="274" w:lineRule="exact"/>
        <w:rPr>
          <w:sz w:val="24"/>
          <w:szCs w:val="24"/>
          <w:color w:val="auto"/>
        </w:rPr>
      </w:pPr>
    </w:p>
    <w:p>
      <w:pPr>
        <w:ind w:left="120"/>
        <w:spacing w:after="0" w:line="239" w:lineRule="auto"/>
        <w:rPr>
          <w:sz w:val="20"/>
          <w:szCs w:val="20"/>
          <w:color w:val="auto"/>
        </w:rPr>
      </w:pPr>
      <w:r>
        <w:rPr>
          <w:rFonts w:ascii="Verdana" w:cs="Verdana" w:eastAsia="Verdana" w:hAnsi="Verdana"/>
          <w:sz w:val="20"/>
          <w:szCs w:val="20"/>
          <w:b w:val="1"/>
          <w:bCs w:val="1"/>
          <w:color w:val="auto"/>
        </w:rPr>
        <w:t>CONCERNENTE LA DETERMINAZIONE E L’UTILIZZAZIONE DEL FONDO REGIONALE</w:t>
      </w:r>
    </w:p>
    <w:p>
      <w:pPr>
        <w:spacing w:after="0" w:line="1" w:lineRule="exact"/>
        <w:rPr>
          <w:sz w:val="24"/>
          <w:szCs w:val="24"/>
          <w:color w:val="auto"/>
        </w:rPr>
      </w:pPr>
    </w:p>
    <w:p>
      <w:pPr>
        <w:ind w:left="820" w:right="180" w:hanging="623"/>
        <w:spacing w:after="0" w:line="296" w:lineRule="auto"/>
        <w:rPr>
          <w:sz w:val="20"/>
          <w:szCs w:val="20"/>
          <w:color w:val="auto"/>
        </w:rPr>
      </w:pPr>
      <w:r>
        <w:rPr>
          <w:rFonts w:ascii="Verdana" w:cs="Verdana" w:eastAsia="Verdana" w:hAnsi="Verdana"/>
          <w:sz w:val="19"/>
          <w:szCs w:val="19"/>
          <w:b w:val="1"/>
          <w:bCs w:val="1"/>
          <w:color w:val="auto"/>
        </w:rPr>
        <w:t>PER LA RETRIBUZIONE DI POSIZIONE E DI RISULTATO RELATIVE AI DIRIGENTI SCOLASTICI IN SERVIZIO NELLA REGIONE ABRUZZO – A.S. 2015/16</w:t>
      </w:r>
    </w:p>
    <w:p>
      <w:pPr>
        <w:spacing w:after="0" w:line="164" w:lineRule="exact"/>
        <w:rPr>
          <w:sz w:val="24"/>
          <w:szCs w:val="24"/>
          <w:color w:val="auto"/>
        </w:rPr>
      </w:pPr>
    </w:p>
    <w:p>
      <w:pPr>
        <w:ind w:left="3420"/>
        <w:spacing w:after="0"/>
        <w:rPr>
          <w:sz w:val="20"/>
          <w:szCs w:val="20"/>
          <w:color w:val="auto"/>
        </w:rPr>
      </w:pPr>
      <w:r>
        <w:rPr>
          <w:rFonts w:ascii="Verdana" w:cs="Verdana" w:eastAsia="Verdana" w:hAnsi="Verdana"/>
          <w:sz w:val="20"/>
          <w:szCs w:val="20"/>
          <w:color w:val="auto"/>
        </w:rPr>
        <w:t>IL DIRETTORE GENERALE</w:t>
      </w:r>
    </w:p>
    <w:p>
      <w:pPr>
        <w:spacing w:after="0" w:line="244" w:lineRule="exact"/>
        <w:rPr>
          <w:sz w:val="24"/>
          <w:szCs w:val="24"/>
          <w:color w:val="auto"/>
        </w:rPr>
      </w:pPr>
    </w:p>
    <w:p>
      <w:pPr>
        <w:ind w:left="720"/>
        <w:spacing w:after="0"/>
        <w:rPr>
          <w:sz w:val="20"/>
          <w:szCs w:val="20"/>
          <w:color w:val="auto"/>
        </w:rPr>
      </w:pPr>
      <w:r>
        <w:rPr>
          <w:rFonts w:ascii="Verdana" w:cs="Verdana" w:eastAsia="Verdana" w:hAnsi="Verdana"/>
          <w:sz w:val="20"/>
          <w:szCs w:val="20"/>
          <w:color w:val="auto"/>
        </w:rPr>
        <w:t>VISTO il D.lgs. n.165/2001;</w:t>
      </w:r>
    </w:p>
    <w:p>
      <w:pPr>
        <w:spacing w:after="0" w:line="242" w:lineRule="exact"/>
        <w:rPr>
          <w:sz w:val="24"/>
          <w:szCs w:val="24"/>
          <w:color w:val="auto"/>
        </w:rPr>
      </w:pPr>
    </w:p>
    <w:p>
      <w:pPr>
        <w:jc w:val="both"/>
        <w:ind w:firstLine="708"/>
        <w:spacing w:after="0"/>
        <w:rPr>
          <w:sz w:val="20"/>
          <w:szCs w:val="20"/>
          <w:color w:val="auto"/>
        </w:rPr>
      </w:pPr>
      <w:r>
        <w:rPr>
          <w:rFonts w:ascii="Verdana" w:cs="Verdana" w:eastAsia="Verdana" w:hAnsi="Verdana"/>
          <w:sz w:val="20"/>
          <w:szCs w:val="20"/>
          <w:color w:val="auto"/>
        </w:rPr>
        <w:t>VISTO il CCNL del 15/7/2010 per il personale appartenente all’Area V della Dirigenza Scolastica;</w:t>
      </w:r>
    </w:p>
    <w:p>
      <w:pPr>
        <w:spacing w:after="0" w:line="1" w:lineRule="exact"/>
        <w:rPr>
          <w:sz w:val="24"/>
          <w:szCs w:val="24"/>
          <w:color w:val="auto"/>
        </w:rPr>
      </w:pPr>
    </w:p>
    <w:p>
      <w:pPr>
        <w:jc w:val="both"/>
        <w:ind w:firstLine="708"/>
        <w:spacing w:after="0" w:line="265" w:lineRule="auto"/>
        <w:rPr>
          <w:sz w:val="20"/>
          <w:szCs w:val="20"/>
          <w:color w:val="auto"/>
        </w:rPr>
      </w:pPr>
      <w:r>
        <w:rPr>
          <w:rFonts w:ascii="Verdana" w:cs="Verdana" w:eastAsia="Verdana" w:hAnsi="Verdana"/>
          <w:sz w:val="20"/>
          <w:szCs w:val="20"/>
          <w:color w:val="auto"/>
        </w:rPr>
        <w:t>VISTO il CIN del 22/2/2007 per il personale appartenente all’Area V della Dirigenza Scolastica;</w:t>
      </w:r>
    </w:p>
    <w:p>
      <w:pPr>
        <w:spacing w:after="0" w:line="190" w:lineRule="exact"/>
        <w:rPr>
          <w:sz w:val="24"/>
          <w:szCs w:val="24"/>
          <w:color w:val="auto"/>
        </w:rPr>
      </w:pPr>
    </w:p>
    <w:p>
      <w:pPr>
        <w:jc w:val="both"/>
        <w:ind w:firstLine="708"/>
        <w:spacing w:after="0" w:line="247" w:lineRule="auto"/>
        <w:rPr>
          <w:sz w:val="20"/>
          <w:szCs w:val="20"/>
          <w:color w:val="auto"/>
        </w:rPr>
      </w:pPr>
      <w:r>
        <w:rPr>
          <w:rFonts w:ascii="Verdana" w:cs="Verdana" w:eastAsia="Verdana" w:hAnsi="Verdana"/>
          <w:sz w:val="20"/>
          <w:szCs w:val="20"/>
          <w:color w:val="auto"/>
        </w:rPr>
        <w:t>VISTA la nota prot. n° AOODGRUF 6482 del 29/04/2016 con cui il MIUR, ai sensi dell’art. 25, comma 3, del CCNL per l’Area V sottoscritto il 15.7.2010, ha comunicato il riparto tra gli UU.SS.RR delle risorse destinate alle retribuzioni di posizione e di risultato dei dirigenti scolastici in servizio nella regione Abruzzo nell’a.s 2015-2016, disposte con DDG AOODRUF prot. n.194 del 08/03/2016;</w:t>
      </w:r>
    </w:p>
    <w:p>
      <w:pPr>
        <w:spacing w:after="0" w:line="209" w:lineRule="exact"/>
        <w:rPr>
          <w:sz w:val="24"/>
          <w:szCs w:val="24"/>
          <w:color w:val="auto"/>
        </w:rPr>
      </w:pPr>
    </w:p>
    <w:p>
      <w:pPr>
        <w:jc w:val="both"/>
        <w:ind w:firstLine="708"/>
        <w:spacing w:after="0" w:line="244" w:lineRule="auto"/>
        <w:rPr>
          <w:sz w:val="20"/>
          <w:szCs w:val="20"/>
          <w:color w:val="auto"/>
        </w:rPr>
      </w:pPr>
      <w:r>
        <w:rPr>
          <w:rFonts w:ascii="Verdana" w:cs="Verdana" w:eastAsia="Verdana" w:hAnsi="Verdana"/>
          <w:sz w:val="20"/>
          <w:szCs w:val="20"/>
          <w:color w:val="auto"/>
        </w:rPr>
        <w:t xml:space="preserve">VISTA la nota prot. n° AOODGRUF 12440 del 02/09/2016 con cui il MIUR ha fornito chiarimenti sul Verbale della Conferenza di servizi del 04/08/2016, promossa ai sensi dell’art.14 della legge n.241/1990, avente ad oggetto </w:t>
      </w:r>
      <w:r>
        <w:rPr>
          <w:rFonts w:ascii="Verdana" w:cs="Verdana" w:eastAsia="Verdana" w:hAnsi="Verdana"/>
          <w:sz w:val="20"/>
          <w:szCs w:val="20"/>
          <w:i w:val="1"/>
          <w:iCs w:val="1"/>
          <w:color w:val="auto"/>
        </w:rPr>
        <w:t>“Area V della dirigenza scolastica.</w:t>
      </w:r>
      <w:r>
        <w:rPr>
          <w:rFonts w:ascii="Verdana" w:cs="Verdana" w:eastAsia="Verdana" w:hAnsi="Verdana"/>
          <w:sz w:val="20"/>
          <w:szCs w:val="20"/>
          <w:color w:val="auto"/>
        </w:rPr>
        <w:t xml:space="preserve"> </w:t>
      </w:r>
      <w:r>
        <w:rPr>
          <w:rFonts w:ascii="Verdana" w:cs="Verdana" w:eastAsia="Verdana" w:hAnsi="Verdana"/>
          <w:sz w:val="20"/>
          <w:szCs w:val="20"/>
          <w:i w:val="1"/>
          <w:iCs w:val="1"/>
          <w:color w:val="auto"/>
        </w:rPr>
        <w:t>Fondo Unico Nazionale (FUN) per la retribuzione di posizione e di risultato dei dirigenti scolastici e connessi contratti integrativi regionali (CIR)”, invitando gli USR che avessero in precedenza adottato atti unilaterali “a riavviare, con ogni possibile urgenza, le trattative al fine di giungere alla sottoscrizione dei contratti integrativi regionali”</w:t>
      </w:r>
      <w:r>
        <w:rPr>
          <w:rFonts w:ascii="Verdana" w:cs="Verdana" w:eastAsia="Verdana" w:hAnsi="Verdana"/>
          <w:sz w:val="20"/>
          <w:szCs w:val="20"/>
          <w:color w:val="auto"/>
        </w:rPr>
        <w:t>;</w:t>
      </w:r>
    </w:p>
    <w:p>
      <w:pPr>
        <w:spacing w:after="0" w:line="214" w:lineRule="exact"/>
        <w:rPr>
          <w:sz w:val="24"/>
          <w:szCs w:val="24"/>
          <w:color w:val="auto"/>
        </w:rPr>
      </w:pPr>
    </w:p>
    <w:p>
      <w:pPr>
        <w:jc w:val="both"/>
        <w:ind w:firstLine="708"/>
        <w:spacing w:after="0"/>
        <w:rPr>
          <w:sz w:val="20"/>
          <w:szCs w:val="20"/>
          <w:color w:val="auto"/>
        </w:rPr>
      </w:pPr>
      <w:r>
        <w:rPr>
          <w:rFonts w:ascii="Verdana" w:cs="Verdana" w:eastAsia="Verdana" w:hAnsi="Verdana"/>
          <w:sz w:val="20"/>
          <w:szCs w:val="20"/>
          <w:color w:val="auto"/>
        </w:rPr>
        <w:t>VISTO il verbale dell’incontro tenutosi il giorno 26 settembre 2016 in sede di negoziazione integrativa a livello regionale, prevista dall’art. 2 - comma 2 - del C.C.N.L. dell’Area V della dirigenza scolastica sottoscritto il 15.7.2010, tra la Delegazione di parte pubblica, individuata con provvedimento del Direttore Generale prot. n. AOODRAB 202 del 10/01/2013, e la Delegazione di parte sindacale individuata nei rappresentanti delle Organizzazioni Sindacali ANP-CIDA, FLC-CGIL, CISL-SCUOLA, UIL-SCUOLA e SNALS-</w:t>
      </w:r>
    </w:p>
    <w:p>
      <w:pPr>
        <w:spacing w:after="0" w:line="1" w:lineRule="exact"/>
        <w:rPr>
          <w:sz w:val="24"/>
          <w:szCs w:val="24"/>
          <w:color w:val="auto"/>
        </w:rPr>
      </w:pPr>
    </w:p>
    <w:p>
      <w:pPr>
        <w:spacing w:after="0"/>
        <w:rPr>
          <w:sz w:val="20"/>
          <w:szCs w:val="20"/>
          <w:color w:val="auto"/>
        </w:rPr>
      </w:pPr>
      <w:r>
        <w:rPr>
          <w:rFonts w:ascii="Verdana" w:cs="Verdana" w:eastAsia="Verdana" w:hAnsi="Verdana"/>
          <w:sz w:val="20"/>
          <w:szCs w:val="20"/>
          <w:color w:val="auto"/>
        </w:rPr>
        <w:t>CONFSAL;</w:t>
      </w:r>
    </w:p>
    <w:p>
      <w:pPr>
        <w:spacing w:after="0" w:line="243" w:lineRule="exact"/>
        <w:rPr>
          <w:sz w:val="24"/>
          <w:szCs w:val="24"/>
          <w:color w:val="auto"/>
        </w:rPr>
      </w:pPr>
    </w:p>
    <w:p>
      <w:pPr>
        <w:jc w:val="both"/>
        <w:ind w:firstLine="708"/>
        <w:spacing w:after="0" w:line="246" w:lineRule="auto"/>
        <w:rPr>
          <w:sz w:val="20"/>
          <w:szCs w:val="20"/>
          <w:color w:val="auto"/>
        </w:rPr>
      </w:pPr>
      <w:r>
        <w:rPr>
          <w:rFonts w:ascii="Verdana" w:cs="Verdana" w:eastAsia="Verdana" w:hAnsi="Verdana"/>
          <w:sz w:val="20"/>
          <w:szCs w:val="20"/>
          <w:color w:val="auto"/>
        </w:rPr>
        <w:t xml:space="preserve">PRESO ATTO che, come risulta dal citato verbale, le suddette OO.SS. </w:t>
      </w:r>
      <w:r>
        <w:rPr>
          <w:rFonts w:ascii="Verdana" w:cs="Verdana" w:eastAsia="Verdana" w:hAnsi="Verdana"/>
          <w:sz w:val="20"/>
          <w:szCs w:val="20"/>
          <w:u w:val="single" w:color="auto"/>
          <w:color w:val="auto"/>
        </w:rPr>
        <w:t>hanno espresso</w:t>
      </w:r>
      <w:r>
        <w:rPr>
          <w:rFonts w:ascii="Verdana" w:cs="Verdana" w:eastAsia="Verdana" w:hAnsi="Verdana"/>
          <w:sz w:val="20"/>
          <w:szCs w:val="20"/>
          <w:color w:val="auto"/>
        </w:rPr>
        <w:t xml:space="preserve"> </w:t>
      </w:r>
      <w:r>
        <w:rPr>
          <w:rFonts w:ascii="Verdana" w:cs="Verdana" w:eastAsia="Verdana" w:hAnsi="Verdana"/>
          <w:sz w:val="20"/>
          <w:szCs w:val="20"/>
          <w:u w:val="single" w:color="auto"/>
          <w:color w:val="auto"/>
        </w:rPr>
        <w:t>la volontà di non sottoscrivere alcun contratto integrativo</w:t>
      </w:r>
      <w:r>
        <w:rPr>
          <w:rFonts w:ascii="Verdana" w:cs="Verdana" w:eastAsia="Verdana" w:hAnsi="Verdana"/>
          <w:sz w:val="20"/>
          <w:szCs w:val="20"/>
          <w:color w:val="auto"/>
        </w:rPr>
        <w:t xml:space="preserve"> in merito alla determinazione e all’utilizzazione del fondo relativo alle retribuzioni di posizione e di risultato per tutto il personale dell’Area V della Dirigenza Scolastica della Regione Abruzzo, in servizio nell’anno scolastico 2015/2016;</w:t>
      </w:r>
    </w:p>
    <w:p>
      <w:pPr>
        <w:spacing w:after="0" w:line="211" w:lineRule="exact"/>
        <w:rPr>
          <w:sz w:val="24"/>
          <w:szCs w:val="24"/>
          <w:color w:val="auto"/>
        </w:rPr>
      </w:pPr>
    </w:p>
    <w:p>
      <w:pPr>
        <w:jc w:val="both"/>
        <w:ind w:firstLine="708"/>
        <w:spacing w:after="0" w:line="248" w:lineRule="auto"/>
        <w:rPr>
          <w:sz w:val="20"/>
          <w:szCs w:val="20"/>
          <w:color w:val="auto"/>
        </w:rPr>
      </w:pPr>
      <w:r>
        <w:rPr>
          <w:rFonts w:ascii="Verdana" w:cs="Verdana" w:eastAsia="Verdana" w:hAnsi="Verdana"/>
          <w:sz w:val="20"/>
          <w:szCs w:val="20"/>
          <w:color w:val="auto"/>
        </w:rPr>
        <w:t>RAVVISATA la necessità di dover procedere, ai sensi dell’art. 40 comma 3 ter del D.lgs. n.165/2001, con atto unilaterale alla ripartizione del Fondo unico per le retribuzioni di posizione e di risultato dei dirigenti scolastici in servizio nella regione Abruzzo nell’a.s 2015-2016, secondo i criteri concordati in seno alla Conferenza di servizi del 04/08/2016, al fine di</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4" w:lineRule="exact"/>
        <w:rPr>
          <w:sz w:val="24"/>
          <w:szCs w:val="24"/>
          <w:color w:val="auto"/>
        </w:rPr>
      </w:pPr>
    </w:p>
    <w:p>
      <w:pPr>
        <w:ind w:left="2240" w:right="1600" w:hanging="628"/>
        <w:spacing w:after="0" w:line="279" w:lineRule="auto"/>
        <w:rPr>
          <w:rFonts w:ascii="Arial" w:cs="Arial" w:eastAsia="Arial" w:hAnsi="Arial"/>
          <w:sz w:val="16"/>
          <w:szCs w:val="16"/>
          <w:color w:val="auto"/>
        </w:rPr>
      </w:pPr>
      <w:r>
        <w:rPr>
          <w:rFonts w:ascii="Arial" w:cs="Arial" w:eastAsia="Arial" w:hAnsi="Arial"/>
          <w:sz w:val="16"/>
          <w:szCs w:val="16"/>
          <w:color w:val="auto"/>
        </w:rPr>
        <w:t xml:space="preserve">Via Ulisse Nurzia – Loc. Boschetto di Pile – L’Aquila Tel: 0862. 5741 Fax: 0862.574231 e-mail: </w:t>
      </w:r>
      <w:hyperlink r:id="rId9">
        <w:r>
          <w:rPr>
            <w:rFonts w:ascii="Arial" w:cs="Arial" w:eastAsia="Arial" w:hAnsi="Arial"/>
            <w:sz w:val="16"/>
            <w:szCs w:val="16"/>
            <w:u w:val="single" w:color="auto"/>
            <w:color w:val="0000FF"/>
          </w:rPr>
          <w:t>direzione-abruzzo@istruzione.it</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 xml:space="preserve">sito: </w:t>
      </w:r>
      <w:hyperlink r:id="rId10">
        <w:r>
          <w:rPr>
            <w:rFonts w:ascii="Arial" w:cs="Arial" w:eastAsia="Arial" w:hAnsi="Arial"/>
            <w:sz w:val="16"/>
            <w:szCs w:val="16"/>
            <w:u w:val="single" w:color="auto"/>
            <w:color w:val="0000FF"/>
          </w:rPr>
          <w:t>www.abruzzo.istruzione.it</w:t>
        </w:r>
      </w:hyperlink>
    </w:p>
    <w:p>
      <w:pPr>
        <w:sectPr>
          <w:pgSz w:w="11900" w:h="16838" w:orient="portrait"/>
          <w:cols w:equalWidth="0" w:num="1">
            <w:col w:w="9420"/>
          </w:cols>
          <w:pgMar w:left="1240" w:top="87" w:right="1240" w:bottom="415" w:gutter="0" w:footer="0" w:header="0"/>
          <w:type w:val="continuous"/>
        </w:sectPr>
      </w:pPr>
    </w:p>
    <w:bookmarkStart w:id="1" w:name="page2"/>
    <w:bookmarkEnd w:id="1"/>
    <w:p>
      <w:pPr>
        <w:spacing w:after="0" w:line="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3484880</wp:posOffset>
            </wp:positionH>
            <wp:positionV relativeFrom="page">
              <wp:posOffset>233680</wp:posOffset>
            </wp:positionV>
            <wp:extent cx="581025" cy="6762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ind w:left="300"/>
        <w:spacing w:after="0"/>
        <w:rPr>
          <w:sz w:val="20"/>
          <w:szCs w:val="20"/>
          <w:color w:val="auto"/>
        </w:rPr>
      </w:pPr>
      <w:r>
        <w:rPr>
          <w:rFonts w:ascii="Times New Roman" w:cs="Times New Roman" w:eastAsia="Times New Roman" w:hAnsi="Times New Roman"/>
          <w:sz w:val="40"/>
          <w:szCs w:val="40"/>
          <w:color w:val="auto"/>
        </w:rPr>
        <w:t>Ministero dell’Istruzione, dell’Università e della Ricerca</w:t>
      </w:r>
    </w:p>
    <w:p>
      <w:pPr>
        <w:spacing w:after="0" w:line="157" w:lineRule="exact"/>
        <w:rPr>
          <w:sz w:val="20"/>
          <w:szCs w:val="20"/>
          <w:color w:val="auto"/>
        </w:rPr>
      </w:pPr>
    </w:p>
    <w:p>
      <w:pPr>
        <w:ind w:left="1660"/>
        <w:spacing w:after="0"/>
        <w:rPr>
          <w:sz w:val="20"/>
          <w:szCs w:val="20"/>
          <w:color w:val="auto"/>
        </w:rPr>
      </w:pPr>
      <w:r>
        <w:rPr>
          <w:rFonts w:ascii="Times New Roman" w:cs="Times New Roman" w:eastAsia="Times New Roman" w:hAnsi="Times New Roman"/>
          <w:sz w:val="44"/>
          <w:szCs w:val="44"/>
          <w:color w:val="auto"/>
        </w:rPr>
        <w:t>Ufficio Scolastico Regionale per l’Abruzzo</w:t>
      </w:r>
    </w:p>
    <w:p>
      <w:pPr>
        <w:spacing w:after="0" w:line="56" w:lineRule="exact"/>
        <w:rPr>
          <w:sz w:val="20"/>
          <w:szCs w:val="20"/>
          <w:color w:val="auto"/>
        </w:rPr>
      </w:pPr>
    </w:p>
    <w:p>
      <w:pPr>
        <w:ind w:left="274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324" w:lineRule="exact"/>
        <w:rPr>
          <w:sz w:val="20"/>
          <w:szCs w:val="20"/>
          <w:color w:val="auto"/>
        </w:rPr>
      </w:pPr>
    </w:p>
    <w:p>
      <w:pPr>
        <w:spacing w:after="0" w:line="265" w:lineRule="auto"/>
        <w:rPr>
          <w:sz w:val="20"/>
          <w:szCs w:val="20"/>
          <w:color w:val="auto"/>
        </w:rPr>
      </w:pPr>
      <w:r>
        <w:rPr>
          <w:rFonts w:ascii="Verdana" w:cs="Verdana" w:eastAsia="Verdana" w:hAnsi="Verdana"/>
          <w:sz w:val="20"/>
          <w:szCs w:val="20"/>
          <w:color w:val="auto"/>
        </w:rPr>
        <w:t>uniformare il trattamento giuridico ed economico dei dirigenti scolastici della Regione Abruzzo a quello di tutti i Dirigenti scolastici a livello nazionale;</w:t>
      </w:r>
    </w:p>
    <w:p>
      <w:pPr>
        <w:spacing w:after="0" w:line="193" w:lineRule="exact"/>
        <w:rPr>
          <w:sz w:val="20"/>
          <w:szCs w:val="20"/>
          <w:color w:val="auto"/>
        </w:rPr>
      </w:pPr>
    </w:p>
    <w:p>
      <w:pPr>
        <w:ind w:left="440"/>
        <w:spacing w:after="0"/>
        <w:rPr>
          <w:sz w:val="20"/>
          <w:szCs w:val="20"/>
          <w:color w:val="auto"/>
        </w:rPr>
      </w:pPr>
      <w:r>
        <w:rPr>
          <w:rFonts w:ascii="Verdana" w:cs="Verdana" w:eastAsia="Verdana" w:hAnsi="Verdana"/>
          <w:sz w:val="20"/>
          <w:szCs w:val="20"/>
          <w:color w:val="auto"/>
        </w:rPr>
        <w:t>CONSIDERATO che per l’anno scolastico 2015-2016:</w:t>
      </w:r>
    </w:p>
    <w:p>
      <w:pPr>
        <w:spacing w:after="0" w:line="242" w:lineRule="exact"/>
        <w:rPr>
          <w:sz w:val="20"/>
          <w:szCs w:val="20"/>
          <w:color w:val="auto"/>
        </w:rPr>
      </w:pPr>
    </w:p>
    <w:p>
      <w:pPr>
        <w:jc w:val="both"/>
        <w:ind w:left="440" w:hanging="432"/>
        <w:spacing w:after="0" w:line="244" w:lineRule="auto"/>
        <w:tabs>
          <w:tab w:leader="none" w:pos="440" w:val="left"/>
        </w:tabs>
        <w:numPr>
          <w:ilvl w:val="0"/>
          <w:numId w:val="1"/>
        </w:numPr>
        <w:rPr>
          <w:rFonts w:ascii="Arial" w:cs="Arial" w:eastAsia="Arial" w:hAnsi="Arial"/>
          <w:sz w:val="20"/>
          <w:szCs w:val="20"/>
          <w:color w:val="auto"/>
        </w:rPr>
      </w:pPr>
      <w:r>
        <w:rPr>
          <w:rFonts w:ascii="Verdana" w:cs="Verdana" w:eastAsia="Verdana" w:hAnsi="Verdana"/>
          <w:sz w:val="20"/>
          <w:szCs w:val="20"/>
          <w:color w:val="auto"/>
        </w:rPr>
        <w:t>si dà applicazione al Contratto Integrativo Regionale sottoscritto in data 13 febbraio 2013 ed all’Accordo del 6 maggio 2015, sottoscritto in via definitiva il 07/07/2015, relativi alla collocazione nelle singole fasce di complessità delle istituzioni scolastiche e dei CPIA della Regione Abruzzo a decorrere dall’a.s. 2015-2016 e con effetto economico dall’1.9.2015; la suddetta operazione risulta effettuata e le risultanze sono riportate nel provvedimento prot.n. AOODRAB 5161 del 27/07/2015 che costituisce parte integrante del presente provvedimento;</w:t>
      </w:r>
    </w:p>
    <w:p>
      <w:pPr>
        <w:spacing w:after="0" w:line="216" w:lineRule="exact"/>
        <w:rPr>
          <w:rFonts w:ascii="Arial" w:cs="Arial" w:eastAsia="Arial" w:hAnsi="Arial"/>
          <w:sz w:val="20"/>
          <w:szCs w:val="20"/>
          <w:color w:val="auto"/>
        </w:rPr>
      </w:pPr>
    </w:p>
    <w:p>
      <w:pPr>
        <w:jc w:val="both"/>
        <w:ind w:left="440" w:hanging="431"/>
        <w:spacing w:after="0" w:line="252" w:lineRule="auto"/>
        <w:tabs>
          <w:tab w:leader="none" w:pos="440" w:val="left"/>
        </w:tabs>
        <w:numPr>
          <w:ilvl w:val="0"/>
          <w:numId w:val="1"/>
        </w:numPr>
        <w:rPr>
          <w:rFonts w:ascii="Arial" w:cs="Arial" w:eastAsia="Arial" w:hAnsi="Arial"/>
          <w:sz w:val="20"/>
          <w:szCs w:val="20"/>
          <w:color w:val="auto"/>
        </w:rPr>
      </w:pPr>
      <w:r>
        <w:rPr>
          <w:rFonts w:ascii="Verdana" w:cs="Verdana" w:eastAsia="Verdana" w:hAnsi="Verdana"/>
          <w:sz w:val="20"/>
          <w:szCs w:val="20"/>
          <w:color w:val="auto"/>
        </w:rPr>
        <w:t>l’Ufficio Scolastico Regionale ha determinato in € 6.132,37 l’effettiva consistenza dell’ammontare complessivo dei compensi per incarichi aggiuntivi (art. 19 CCNL 16/04/2006, come integrato dall’art. 10 del CCNL 15 luglio 2010);</w:t>
      </w:r>
    </w:p>
    <w:p>
      <w:pPr>
        <w:spacing w:after="0" w:line="206" w:lineRule="exact"/>
        <w:rPr>
          <w:rFonts w:ascii="Arial" w:cs="Arial" w:eastAsia="Arial" w:hAnsi="Arial"/>
          <w:sz w:val="20"/>
          <w:szCs w:val="20"/>
          <w:color w:val="auto"/>
        </w:rPr>
      </w:pPr>
    </w:p>
    <w:p>
      <w:pPr>
        <w:jc w:val="both"/>
        <w:ind w:left="360" w:hanging="350"/>
        <w:spacing w:after="0" w:line="248" w:lineRule="auto"/>
        <w:tabs>
          <w:tab w:leader="none" w:pos="360" w:val="left"/>
        </w:tabs>
        <w:numPr>
          <w:ilvl w:val="1"/>
          <w:numId w:val="1"/>
        </w:numPr>
        <w:rPr>
          <w:rFonts w:ascii="Wingdings" w:cs="Wingdings" w:eastAsia="Wingdings" w:hAnsi="Wingdings"/>
          <w:sz w:val="20"/>
          <w:szCs w:val="20"/>
          <w:b w:val="1"/>
          <w:bCs w:val="1"/>
          <w:color w:val="auto"/>
        </w:rPr>
      </w:pPr>
      <w:r>
        <w:rPr>
          <w:rFonts w:ascii="Verdana" w:cs="Verdana" w:eastAsia="Verdana" w:hAnsi="Verdana"/>
          <w:sz w:val="20"/>
          <w:szCs w:val="20"/>
          <w:color w:val="auto"/>
        </w:rPr>
        <w:t>la consistenza del fondo accertata consente di determinare i valori delle retribuzioni di posizione parte variabile e di risultato a decorrere dal 01/09/2015, in relazione alle nuove fasce di complessità delle istituzioni scolastiche della regione di cui al decreto prot. n° AOODRAB 5161 del 27/07/2015;</w:t>
      </w:r>
    </w:p>
    <w:p>
      <w:pPr>
        <w:spacing w:after="0" w:line="210" w:lineRule="exact"/>
        <w:rPr>
          <w:sz w:val="20"/>
          <w:szCs w:val="20"/>
          <w:color w:val="auto"/>
        </w:rPr>
      </w:pPr>
    </w:p>
    <w:p>
      <w:pPr>
        <w:jc w:val="both"/>
        <w:ind w:firstLine="360"/>
        <w:spacing w:after="0" w:line="253" w:lineRule="auto"/>
        <w:rPr>
          <w:sz w:val="20"/>
          <w:szCs w:val="20"/>
          <w:color w:val="auto"/>
        </w:rPr>
      </w:pPr>
      <w:r>
        <w:rPr>
          <w:rFonts w:ascii="Verdana" w:cs="Verdana" w:eastAsia="Verdana" w:hAnsi="Verdana"/>
          <w:sz w:val="20"/>
          <w:szCs w:val="20"/>
          <w:color w:val="auto"/>
        </w:rPr>
        <w:t>VISTA la nota prot.n. 21676 del 4/11/2016 con cui l’Ufficio Centrale di Bilancio presso il MIUR comunica di aver provveduto ad ammettere a registrazione - con Visto n.1160 del 4 novembre 2016 - l’Ipotesi di Atto Unilaterale adottata in data 28 settembre 2016;</w:t>
      </w:r>
    </w:p>
    <w:p>
      <w:pPr>
        <w:spacing w:after="0" w:line="200" w:lineRule="exact"/>
        <w:rPr>
          <w:sz w:val="20"/>
          <w:szCs w:val="20"/>
          <w:color w:val="auto"/>
        </w:rPr>
      </w:pPr>
    </w:p>
    <w:p>
      <w:pPr>
        <w:spacing w:after="0" w:line="244" w:lineRule="exact"/>
        <w:rPr>
          <w:sz w:val="20"/>
          <w:szCs w:val="20"/>
          <w:color w:val="auto"/>
        </w:rPr>
      </w:pPr>
    </w:p>
    <w:p>
      <w:pPr>
        <w:ind w:left="4200"/>
        <w:spacing w:after="0"/>
        <w:rPr>
          <w:sz w:val="20"/>
          <w:szCs w:val="20"/>
          <w:color w:val="auto"/>
        </w:rPr>
      </w:pPr>
      <w:r>
        <w:rPr>
          <w:rFonts w:ascii="Verdana" w:cs="Verdana" w:eastAsia="Verdana" w:hAnsi="Verdana"/>
          <w:sz w:val="20"/>
          <w:szCs w:val="20"/>
          <w:b w:val="1"/>
          <w:bCs w:val="1"/>
          <w:color w:val="auto"/>
        </w:rPr>
        <w:t>DISPONE</w:t>
      </w:r>
    </w:p>
    <w:p>
      <w:pPr>
        <w:spacing w:after="0" w:line="242" w:lineRule="exact"/>
        <w:rPr>
          <w:sz w:val="20"/>
          <w:szCs w:val="20"/>
          <w:color w:val="auto"/>
        </w:rPr>
      </w:pPr>
    </w:p>
    <w:p>
      <w:pPr>
        <w:ind w:left="4400"/>
        <w:spacing w:after="0"/>
        <w:rPr>
          <w:sz w:val="20"/>
          <w:szCs w:val="20"/>
          <w:color w:val="auto"/>
        </w:rPr>
      </w:pPr>
      <w:r>
        <w:rPr>
          <w:rFonts w:ascii="Verdana" w:cs="Verdana" w:eastAsia="Verdana" w:hAnsi="Verdana"/>
          <w:sz w:val="20"/>
          <w:szCs w:val="20"/>
          <w:b w:val="1"/>
          <w:bCs w:val="1"/>
          <w:color w:val="auto"/>
        </w:rPr>
        <w:t>Art. 1</w:t>
      </w:r>
    </w:p>
    <w:p>
      <w:pPr>
        <w:spacing w:after="0" w:line="248" w:lineRule="exact"/>
        <w:rPr>
          <w:sz w:val="20"/>
          <w:szCs w:val="20"/>
          <w:color w:val="auto"/>
        </w:rPr>
      </w:pPr>
    </w:p>
    <w:p>
      <w:pPr>
        <w:jc w:val="both"/>
        <w:ind w:firstLine="708"/>
        <w:spacing w:after="0" w:line="246" w:lineRule="auto"/>
        <w:rPr>
          <w:sz w:val="20"/>
          <w:szCs w:val="20"/>
          <w:color w:val="auto"/>
        </w:rPr>
      </w:pPr>
      <w:r>
        <w:rPr>
          <w:rFonts w:ascii="Verdana" w:cs="Verdana" w:eastAsia="Verdana" w:hAnsi="Verdana"/>
          <w:sz w:val="20"/>
          <w:szCs w:val="20"/>
          <w:color w:val="auto"/>
        </w:rPr>
        <w:t xml:space="preserve">Il Fondo regionale per le retribuzioni di posizione e di risultato dei dirigenti scolastici in servizio nella regione Abruzzo nell’a.s 2015-2016 è costituito come specificato di seguito e le modalità di calcolo delle retribuzioni previste nel presente provvedimento, spettanti ai dirigenti scolastici della Regione Abruzzo a decorrere dall’1.9.2015 e fino al 31.8.2016, sono riportate nell’allegata tabella di calcolo che costituisce parte integrante dello stesso. </w:t>
      </w:r>
      <w:r>
        <w:rPr>
          <w:rFonts w:ascii="Verdana" w:cs="Verdana" w:eastAsia="Verdana" w:hAnsi="Verdana"/>
          <w:sz w:val="20"/>
          <w:szCs w:val="20"/>
          <w:b w:val="1"/>
          <w:bCs w:val="1"/>
          <w:color w:val="auto"/>
        </w:rPr>
        <w:t>(All. 1)</w:t>
      </w:r>
    </w:p>
    <w:p>
      <w:pPr>
        <w:spacing w:after="0" w:line="200" w:lineRule="exact"/>
        <w:rPr>
          <w:sz w:val="20"/>
          <w:szCs w:val="20"/>
          <w:color w:val="auto"/>
        </w:rPr>
      </w:pPr>
    </w:p>
    <w:p>
      <w:pPr>
        <w:spacing w:after="0" w:line="252" w:lineRule="exact"/>
        <w:rPr>
          <w:sz w:val="20"/>
          <w:szCs w:val="20"/>
          <w:color w:val="auto"/>
        </w:rPr>
      </w:pPr>
    </w:p>
    <w:p>
      <w:pPr>
        <w:ind w:left="2880"/>
        <w:spacing w:after="0"/>
        <w:rPr>
          <w:sz w:val="20"/>
          <w:szCs w:val="20"/>
          <w:color w:val="auto"/>
        </w:rPr>
      </w:pPr>
      <w:r>
        <w:rPr>
          <w:rFonts w:ascii="Verdana" w:cs="Verdana" w:eastAsia="Verdana" w:hAnsi="Verdana"/>
          <w:sz w:val="20"/>
          <w:szCs w:val="20"/>
          <w:b w:val="1"/>
          <w:bCs w:val="1"/>
          <w:color w:val="auto"/>
        </w:rPr>
        <w:t>Art. 2 - Fondo regionale 2015-16</w:t>
      </w:r>
    </w:p>
    <w:p>
      <w:pPr>
        <w:spacing w:after="0" w:line="246" w:lineRule="exact"/>
        <w:rPr>
          <w:sz w:val="20"/>
          <w:szCs w:val="20"/>
          <w:color w:val="auto"/>
        </w:rPr>
      </w:pPr>
    </w:p>
    <w:p>
      <w:pPr>
        <w:jc w:val="both"/>
        <w:ind w:left="20" w:firstLine="540"/>
        <w:spacing w:after="0" w:line="238" w:lineRule="auto"/>
        <w:rPr>
          <w:sz w:val="20"/>
          <w:szCs w:val="20"/>
          <w:color w:val="auto"/>
        </w:rPr>
      </w:pPr>
      <w:r>
        <w:rPr>
          <w:rFonts w:ascii="Verdana" w:cs="Verdana" w:eastAsia="Verdana" w:hAnsi="Verdana"/>
          <w:sz w:val="20"/>
          <w:szCs w:val="20"/>
          <w:color w:val="auto"/>
        </w:rPr>
        <w:t>1. Il fondo regionale 2015-16 per la retribuzione di posizione e di risultato è così determinato:</w:t>
      </w:r>
    </w:p>
    <w:p>
      <w:pPr>
        <w:spacing w:after="0" w:line="1" w:lineRule="exact"/>
        <w:rPr>
          <w:sz w:val="20"/>
          <w:szCs w:val="20"/>
          <w:color w:val="auto"/>
        </w:rPr>
      </w:pPr>
    </w:p>
    <w:p>
      <w:pPr>
        <w:jc w:val="both"/>
        <w:ind w:left="540" w:firstLine="10"/>
        <w:spacing w:after="0" w:line="239" w:lineRule="auto"/>
        <w:tabs>
          <w:tab w:leader="none" w:pos="948" w:val="left"/>
        </w:tabs>
        <w:numPr>
          <w:ilvl w:val="0"/>
          <w:numId w:val="2"/>
        </w:numPr>
        <w:rPr>
          <w:rFonts w:ascii="Verdana" w:cs="Verdana" w:eastAsia="Verdana" w:hAnsi="Verdana"/>
          <w:sz w:val="20"/>
          <w:szCs w:val="20"/>
          <w:b w:val="1"/>
          <w:bCs w:val="1"/>
          <w:color w:val="auto"/>
        </w:rPr>
      </w:pPr>
      <w:r>
        <w:rPr>
          <w:rFonts w:ascii="Verdana" w:cs="Verdana" w:eastAsia="Verdana" w:hAnsi="Verdana"/>
          <w:sz w:val="20"/>
          <w:szCs w:val="20"/>
          <w:color w:val="auto"/>
        </w:rPr>
        <w:t xml:space="preserve">da </w:t>
      </w:r>
      <w:r>
        <w:rPr>
          <w:rFonts w:ascii="Verdana" w:cs="Verdana" w:eastAsia="Verdana" w:hAnsi="Verdana"/>
          <w:sz w:val="20"/>
          <w:szCs w:val="20"/>
          <w:b w:val="1"/>
          <w:bCs w:val="1"/>
          <w:color w:val="auto"/>
        </w:rPr>
        <w:t>€ 2.575.842,62</w:t>
      </w:r>
      <w:r>
        <w:rPr>
          <w:rFonts w:ascii="Verdana" w:cs="Verdana" w:eastAsia="Verdana" w:hAnsi="Verdana"/>
          <w:sz w:val="20"/>
          <w:szCs w:val="20"/>
          <w:color w:val="auto"/>
        </w:rPr>
        <w:t>, come quantificato dal DDG AOODGRUF prot.n.194 del 08/03/2016</w:t>
      </w:r>
    </w:p>
    <w:p>
      <w:pPr>
        <w:jc w:val="both"/>
        <w:ind w:left="880" w:hanging="330"/>
        <w:spacing w:after="0"/>
        <w:tabs>
          <w:tab w:leader="none" w:pos="880" w:val="left"/>
        </w:tabs>
        <w:numPr>
          <w:ilvl w:val="0"/>
          <w:numId w:val="2"/>
        </w:numPr>
        <w:rPr>
          <w:rFonts w:ascii="Verdana" w:cs="Verdana" w:eastAsia="Verdana" w:hAnsi="Verdana"/>
          <w:sz w:val="20"/>
          <w:szCs w:val="20"/>
          <w:b w:val="1"/>
          <w:bCs w:val="1"/>
          <w:color w:val="auto"/>
        </w:rPr>
      </w:pPr>
      <w:r>
        <w:rPr>
          <w:rFonts w:ascii="Verdana" w:cs="Verdana" w:eastAsia="Verdana" w:hAnsi="Verdana"/>
          <w:sz w:val="20"/>
          <w:szCs w:val="20"/>
          <w:color w:val="auto"/>
        </w:rPr>
        <w:t xml:space="preserve">da </w:t>
      </w:r>
      <w:r>
        <w:rPr>
          <w:rFonts w:ascii="Verdana" w:cs="Verdana" w:eastAsia="Verdana" w:hAnsi="Verdana"/>
          <w:sz w:val="20"/>
          <w:szCs w:val="20"/>
          <w:b w:val="1"/>
          <w:bCs w:val="1"/>
          <w:color w:val="auto"/>
        </w:rPr>
        <w:t>€ 6.132,37</w:t>
      </w:r>
      <w:r>
        <w:rPr>
          <w:rFonts w:ascii="Verdana" w:cs="Verdana" w:eastAsia="Verdana" w:hAnsi="Verdana"/>
          <w:sz w:val="20"/>
          <w:szCs w:val="20"/>
          <w:color w:val="auto"/>
        </w:rPr>
        <w:t xml:space="preserve"> derivanti da incarichi aggiuntivi svolti dai dirigenti fino alla data del</w:t>
      </w:r>
    </w:p>
    <w:p>
      <w:pPr>
        <w:spacing w:after="0" w:line="5" w:lineRule="exact"/>
        <w:rPr>
          <w:sz w:val="20"/>
          <w:szCs w:val="20"/>
          <w:color w:val="auto"/>
        </w:rPr>
      </w:pPr>
    </w:p>
    <w:p>
      <w:pPr>
        <w:ind w:left="540"/>
        <w:spacing w:after="0"/>
        <w:rPr>
          <w:sz w:val="20"/>
          <w:szCs w:val="20"/>
          <w:color w:val="auto"/>
        </w:rPr>
      </w:pPr>
      <w:r>
        <w:rPr>
          <w:rFonts w:ascii="Verdana" w:cs="Verdana" w:eastAsia="Verdana" w:hAnsi="Verdana"/>
          <w:sz w:val="20"/>
          <w:szCs w:val="20"/>
          <w:color w:val="auto"/>
        </w:rPr>
        <w:t>31/12/2014;</w:t>
      </w:r>
    </w:p>
    <w:p>
      <w:pPr>
        <w:ind w:left="20" w:firstLine="540"/>
        <w:spacing w:after="0" w:line="265" w:lineRule="auto"/>
        <w:rPr>
          <w:sz w:val="20"/>
          <w:szCs w:val="20"/>
          <w:color w:val="auto"/>
        </w:rPr>
      </w:pPr>
      <w:r>
        <w:rPr>
          <w:rFonts w:ascii="Verdana" w:cs="Verdana" w:eastAsia="Verdana" w:hAnsi="Verdana"/>
          <w:sz w:val="20"/>
          <w:szCs w:val="20"/>
          <w:color w:val="auto"/>
        </w:rPr>
        <w:t xml:space="preserve">Pertanto, il budget disponibile ai fini della retribuzione di posizione ed alla retribuzione di risultato è quantificato in </w:t>
      </w:r>
      <w:r>
        <w:rPr>
          <w:rFonts w:ascii="Verdana" w:cs="Verdana" w:eastAsia="Verdana" w:hAnsi="Verdana"/>
          <w:sz w:val="20"/>
          <w:szCs w:val="20"/>
          <w:b w:val="1"/>
          <w:bCs w:val="1"/>
          <w:color w:val="auto"/>
        </w:rPr>
        <w:t>€ 2.581.974,99.</w:t>
      </w:r>
    </w:p>
    <w:p>
      <w:pPr>
        <w:spacing w:after="0" w:line="200" w:lineRule="exact"/>
        <w:rPr>
          <w:sz w:val="20"/>
          <w:szCs w:val="20"/>
          <w:color w:val="auto"/>
        </w:rPr>
      </w:pPr>
    </w:p>
    <w:p>
      <w:pPr>
        <w:spacing w:after="0" w:line="390" w:lineRule="exact"/>
        <w:rPr>
          <w:sz w:val="20"/>
          <w:szCs w:val="20"/>
          <w:color w:val="auto"/>
        </w:rPr>
      </w:pPr>
    </w:p>
    <w:p>
      <w:pPr>
        <w:ind w:left="2240" w:right="1600" w:hanging="628"/>
        <w:spacing w:after="0" w:line="279" w:lineRule="auto"/>
        <w:rPr>
          <w:rFonts w:ascii="Arial" w:cs="Arial" w:eastAsia="Arial" w:hAnsi="Arial"/>
          <w:sz w:val="16"/>
          <w:szCs w:val="16"/>
          <w:color w:val="auto"/>
        </w:rPr>
      </w:pPr>
      <w:r>
        <w:rPr>
          <w:rFonts w:ascii="Arial" w:cs="Arial" w:eastAsia="Arial" w:hAnsi="Arial"/>
          <w:sz w:val="16"/>
          <w:szCs w:val="16"/>
          <w:color w:val="auto"/>
        </w:rPr>
        <w:t xml:space="preserve">Via Ulisse Nurzia – Loc. Boschetto di Pile – L’Aquila Tel: 0862. 5741 Fax: 0862.574231 e-mail: </w:t>
      </w:r>
      <w:hyperlink r:id="rId9">
        <w:r>
          <w:rPr>
            <w:rFonts w:ascii="Arial" w:cs="Arial" w:eastAsia="Arial" w:hAnsi="Arial"/>
            <w:sz w:val="16"/>
            <w:szCs w:val="16"/>
            <w:u w:val="single" w:color="auto"/>
            <w:color w:val="0000FF"/>
          </w:rPr>
          <w:t>direzione-abruzzo@istruzione.it</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 xml:space="preserve">sito: </w:t>
      </w:r>
      <w:hyperlink r:id="rId10">
        <w:r>
          <w:rPr>
            <w:rFonts w:ascii="Arial" w:cs="Arial" w:eastAsia="Arial" w:hAnsi="Arial"/>
            <w:sz w:val="16"/>
            <w:szCs w:val="16"/>
            <w:u w:val="single" w:color="auto"/>
            <w:color w:val="0000FF"/>
          </w:rPr>
          <w:t>www.abruzzo.istruzione.it</w:t>
        </w:r>
      </w:hyperlink>
    </w:p>
    <w:p>
      <w:pPr>
        <w:sectPr>
          <w:pgSz w:w="11900" w:h="16838" w:orient="portrait"/>
          <w:cols w:equalWidth="0" w:num="1">
            <w:col w:w="9420"/>
          </w:cols>
          <w:pgMar w:left="1240" w:top="1440" w:right="1240" w:bottom="415" w:gutter="0" w:footer="0" w:header="0"/>
        </w:sectPr>
      </w:pPr>
    </w:p>
    <w:bookmarkStart w:id="2" w:name="page3"/>
    <w:bookmarkEnd w:id="2"/>
    <w:p>
      <w:pPr>
        <w:spacing w:after="0" w:line="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3484880</wp:posOffset>
            </wp:positionH>
            <wp:positionV relativeFrom="page">
              <wp:posOffset>233680</wp:posOffset>
            </wp:positionV>
            <wp:extent cx="581025" cy="6762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ind w:left="300"/>
        <w:spacing w:after="0"/>
        <w:rPr>
          <w:sz w:val="20"/>
          <w:szCs w:val="20"/>
          <w:color w:val="auto"/>
        </w:rPr>
      </w:pPr>
      <w:r>
        <w:rPr>
          <w:rFonts w:ascii="Times New Roman" w:cs="Times New Roman" w:eastAsia="Times New Roman" w:hAnsi="Times New Roman"/>
          <w:sz w:val="40"/>
          <w:szCs w:val="40"/>
          <w:color w:val="auto"/>
        </w:rPr>
        <w:t>Ministero dell’Istruzione, dell’Università e della Ricerca</w:t>
      </w:r>
    </w:p>
    <w:p>
      <w:pPr>
        <w:spacing w:after="0" w:line="157" w:lineRule="exact"/>
        <w:rPr>
          <w:sz w:val="20"/>
          <w:szCs w:val="20"/>
          <w:color w:val="auto"/>
        </w:rPr>
      </w:pPr>
    </w:p>
    <w:p>
      <w:pPr>
        <w:ind w:left="1660"/>
        <w:spacing w:after="0"/>
        <w:rPr>
          <w:sz w:val="20"/>
          <w:szCs w:val="20"/>
          <w:color w:val="auto"/>
        </w:rPr>
      </w:pPr>
      <w:r>
        <w:rPr>
          <w:rFonts w:ascii="Times New Roman" w:cs="Times New Roman" w:eastAsia="Times New Roman" w:hAnsi="Times New Roman"/>
          <w:sz w:val="44"/>
          <w:szCs w:val="44"/>
          <w:color w:val="auto"/>
        </w:rPr>
        <w:t>Ufficio Scolastico Regionale per l’Abruzzo</w:t>
      </w:r>
    </w:p>
    <w:p>
      <w:pPr>
        <w:spacing w:after="0" w:line="56" w:lineRule="exact"/>
        <w:rPr>
          <w:sz w:val="20"/>
          <w:szCs w:val="20"/>
          <w:color w:val="auto"/>
        </w:rPr>
      </w:pPr>
    </w:p>
    <w:p>
      <w:pPr>
        <w:ind w:left="274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362" w:lineRule="exact"/>
        <w:rPr>
          <w:sz w:val="20"/>
          <w:szCs w:val="20"/>
          <w:color w:val="auto"/>
        </w:rPr>
      </w:pPr>
    </w:p>
    <w:p>
      <w:pPr>
        <w:jc w:val="both"/>
        <w:ind w:firstLine="540"/>
        <w:spacing w:after="0" w:line="255" w:lineRule="auto"/>
        <w:rPr>
          <w:sz w:val="20"/>
          <w:szCs w:val="20"/>
          <w:color w:val="auto"/>
        </w:rPr>
      </w:pPr>
      <w:r>
        <w:rPr>
          <w:rFonts w:ascii="Verdana" w:cs="Verdana" w:eastAsia="Verdana" w:hAnsi="Verdana"/>
          <w:sz w:val="20"/>
          <w:szCs w:val="20"/>
          <w:color w:val="auto"/>
        </w:rPr>
        <w:t xml:space="preserve">2. Le risorse del fondo regionale 2015-16 sono integrate da </w:t>
      </w:r>
      <w:r>
        <w:rPr>
          <w:rFonts w:ascii="Verdana" w:cs="Verdana" w:eastAsia="Verdana" w:hAnsi="Verdana"/>
          <w:sz w:val="20"/>
          <w:szCs w:val="20"/>
          <w:b w:val="1"/>
          <w:bCs w:val="1"/>
          <w:color w:val="auto"/>
        </w:rPr>
        <w:t>€ 640.237,83</w:t>
      </w:r>
      <w:r>
        <w:rPr>
          <w:rFonts w:ascii="Verdana" w:cs="Verdana" w:eastAsia="Verdana" w:hAnsi="Verdana"/>
          <w:sz w:val="20"/>
          <w:szCs w:val="20"/>
          <w:color w:val="auto"/>
        </w:rPr>
        <w:t>, finalizzate alla sola retribuzione di risultato come quantificato nel DDG AOODGRUF prot.n.194 del 08/03/2016.</w:t>
      </w: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ind w:left="1240"/>
        <w:spacing w:after="0"/>
        <w:rPr>
          <w:sz w:val="20"/>
          <w:szCs w:val="20"/>
          <w:color w:val="auto"/>
        </w:rPr>
      </w:pPr>
      <w:r>
        <w:rPr>
          <w:rFonts w:ascii="Verdana" w:cs="Verdana" w:eastAsia="Verdana" w:hAnsi="Verdana"/>
          <w:sz w:val="20"/>
          <w:szCs w:val="20"/>
          <w:b w:val="1"/>
          <w:bCs w:val="1"/>
          <w:color w:val="auto"/>
        </w:rPr>
        <w:t>Art. 3 - Retribuzione di posizione a decorrere dal 01/09/2015</w:t>
      </w:r>
    </w:p>
    <w:p>
      <w:pPr>
        <w:spacing w:after="0" w:line="248" w:lineRule="exact"/>
        <w:rPr>
          <w:sz w:val="20"/>
          <w:szCs w:val="20"/>
          <w:color w:val="auto"/>
        </w:rPr>
      </w:pPr>
    </w:p>
    <w:p>
      <w:pPr>
        <w:jc w:val="both"/>
        <w:ind w:firstLine="715"/>
        <w:spacing w:after="0" w:line="246" w:lineRule="auto"/>
        <w:tabs>
          <w:tab w:leader="none" w:pos="1056" w:val="left"/>
        </w:tabs>
        <w:numPr>
          <w:ilvl w:val="0"/>
          <w:numId w:val="3"/>
        </w:numPr>
        <w:rPr>
          <w:rFonts w:ascii="Verdana" w:cs="Verdana" w:eastAsia="Verdana" w:hAnsi="Verdana"/>
          <w:sz w:val="20"/>
          <w:szCs w:val="20"/>
          <w:color w:val="auto"/>
        </w:rPr>
      </w:pPr>
      <w:r>
        <w:rPr>
          <w:rFonts w:ascii="Verdana" w:cs="Verdana" w:eastAsia="Verdana" w:hAnsi="Verdana"/>
          <w:sz w:val="20"/>
          <w:szCs w:val="20"/>
          <w:color w:val="auto"/>
        </w:rPr>
        <w:t>Le risorse del fondo regionale per l’anno scolastico 2015/2016 - così come quantificate nel precedente art. 2 – comma 1. - sono state assegnate con riferimento a complessivi 201 posti di dotazione organica per dirigenti scolastici attribuiti alla regione Abruzzo dal D.M. n.466 del 6/7/2015 e sono destinate per l’85% del loro ammontare per la retribuzione di posizione (Quota Fissa e Quota Variabile).</w:t>
      </w:r>
    </w:p>
    <w:p>
      <w:pPr>
        <w:spacing w:after="0" w:line="211" w:lineRule="exact"/>
        <w:rPr>
          <w:rFonts w:ascii="Verdana" w:cs="Verdana" w:eastAsia="Verdana" w:hAnsi="Verdana"/>
          <w:sz w:val="20"/>
          <w:szCs w:val="20"/>
          <w:color w:val="auto"/>
        </w:rPr>
      </w:pPr>
    </w:p>
    <w:p>
      <w:pPr>
        <w:jc w:val="both"/>
        <w:ind w:firstLine="716"/>
        <w:spacing w:after="0" w:line="246" w:lineRule="auto"/>
        <w:tabs>
          <w:tab w:leader="none" w:pos="989" w:val="left"/>
        </w:tabs>
        <w:numPr>
          <w:ilvl w:val="0"/>
          <w:numId w:val="3"/>
        </w:numPr>
        <w:rPr>
          <w:rFonts w:ascii="Verdana" w:cs="Verdana" w:eastAsia="Verdana" w:hAnsi="Verdana"/>
          <w:sz w:val="20"/>
          <w:szCs w:val="20"/>
          <w:color w:val="auto"/>
        </w:rPr>
      </w:pPr>
      <w:r>
        <w:rPr>
          <w:rFonts w:ascii="Verdana" w:cs="Verdana" w:eastAsia="Verdana" w:hAnsi="Verdana"/>
          <w:sz w:val="20"/>
          <w:szCs w:val="20"/>
          <w:color w:val="auto"/>
        </w:rPr>
        <w:t xml:space="preserve">La cifra disponibile per l’attribuzione della retribuzione di posizione parte variabile, al netto della quota da destinare alla retribuzione di posizione parte fissa (€ 3.556,68 annui lordi compreso il rateo della tredicesima mensilità), determinata in relazione ai 183 dirigenti in servizio (n. 176 unità in servizio per l’intero anno scolastico, n.3 dirigenti con congedo al 30% e n. 4 dirigenti cessati nel corso dell’anno scolastico) è pari ad </w:t>
      </w:r>
      <w:r>
        <w:rPr>
          <w:rFonts w:ascii="Verdana" w:cs="Verdana" w:eastAsia="Verdana" w:hAnsi="Verdana"/>
          <w:sz w:val="20"/>
          <w:szCs w:val="20"/>
          <w:b w:val="1"/>
          <w:bCs w:val="1"/>
          <w:color w:val="auto"/>
        </w:rPr>
        <w:t>€ 1.553.267,98</w:t>
      </w:r>
      <w:r>
        <w:rPr>
          <w:rFonts w:ascii="Verdana" w:cs="Verdana" w:eastAsia="Verdana" w:hAnsi="Verdana"/>
          <w:sz w:val="20"/>
          <w:szCs w:val="20"/>
          <w:color w:val="auto"/>
        </w:rPr>
        <w:t>.</w:t>
      </w:r>
    </w:p>
    <w:p>
      <w:pPr>
        <w:spacing w:after="0" w:line="213" w:lineRule="exact"/>
        <w:rPr>
          <w:rFonts w:ascii="Verdana" w:cs="Verdana" w:eastAsia="Verdana" w:hAnsi="Verdana"/>
          <w:sz w:val="20"/>
          <w:szCs w:val="20"/>
          <w:color w:val="auto"/>
        </w:rPr>
      </w:pPr>
    </w:p>
    <w:p>
      <w:pPr>
        <w:jc w:val="both"/>
        <w:ind w:firstLine="716"/>
        <w:spacing w:after="0" w:line="246" w:lineRule="auto"/>
        <w:tabs>
          <w:tab w:leader="none" w:pos="977" w:val="left"/>
        </w:tabs>
        <w:numPr>
          <w:ilvl w:val="0"/>
          <w:numId w:val="3"/>
        </w:numPr>
        <w:rPr>
          <w:rFonts w:ascii="Verdana" w:cs="Verdana" w:eastAsia="Verdana" w:hAnsi="Verdana"/>
          <w:sz w:val="20"/>
          <w:szCs w:val="20"/>
          <w:color w:val="auto"/>
        </w:rPr>
      </w:pPr>
      <w:r>
        <w:rPr>
          <w:rFonts w:ascii="Verdana" w:cs="Verdana" w:eastAsia="Verdana" w:hAnsi="Verdana"/>
          <w:sz w:val="20"/>
          <w:szCs w:val="20"/>
          <w:color w:val="auto"/>
        </w:rPr>
        <w:t xml:space="preserve">La quota media pro-capite per la retribuzione di posizione parte variabile, derivante dalla divisione del budget disponibile per i 201 posti previsti dall’organico di diritto per dirigenti scolastici preposti alle Istituzioni scolastiche della regione, è pari a </w:t>
      </w:r>
      <w:r>
        <w:rPr>
          <w:rFonts w:ascii="Verdana" w:cs="Verdana" w:eastAsia="Verdana" w:hAnsi="Verdana"/>
          <w:sz w:val="20"/>
          <w:szCs w:val="20"/>
          <w:b w:val="1"/>
          <w:bCs w:val="1"/>
          <w:color w:val="auto"/>
        </w:rPr>
        <w:t>€ 7.727,70</w:t>
      </w:r>
      <w:r>
        <w:rPr>
          <w:rFonts w:ascii="Verdana" w:cs="Verdana" w:eastAsia="Verdana" w:hAnsi="Verdana"/>
          <w:sz w:val="20"/>
          <w:szCs w:val="20"/>
          <w:color w:val="auto"/>
        </w:rPr>
        <w:t xml:space="preserve"> annui lordi compreso il rateo della tredicesima mensilità. La stessa viene moltiplicata per i dirigenti effettivamente in servizio (183) per l’ammontare complessivo di </w:t>
      </w:r>
      <w:r>
        <w:rPr>
          <w:rFonts w:ascii="Verdana" w:cs="Verdana" w:eastAsia="Verdana" w:hAnsi="Verdana"/>
          <w:sz w:val="20"/>
          <w:szCs w:val="20"/>
          <w:b w:val="1"/>
          <w:bCs w:val="1"/>
          <w:color w:val="auto"/>
        </w:rPr>
        <w:t>€ 1.414.169,36</w:t>
      </w:r>
      <w:r>
        <w:rPr>
          <w:rFonts w:ascii="Verdana" w:cs="Verdana" w:eastAsia="Verdana" w:hAnsi="Verdana"/>
          <w:sz w:val="20"/>
          <w:szCs w:val="20"/>
          <w:color w:val="auto"/>
        </w:rPr>
        <w:t>.</w:t>
      </w:r>
    </w:p>
    <w:p>
      <w:pPr>
        <w:spacing w:after="0" w:line="209" w:lineRule="exact"/>
        <w:rPr>
          <w:rFonts w:ascii="Verdana" w:cs="Verdana" w:eastAsia="Verdana" w:hAnsi="Verdana"/>
          <w:sz w:val="20"/>
          <w:szCs w:val="20"/>
          <w:color w:val="auto"/>
        </w:rPr>
      </w:pPr>
    </w:p>
    <w:p>
      <w:pPr>
        <w:jc w:val="both"/>
        <w:ind w:firstLine="716"/>
        <w:spacing w:after="0"/>
        <w:tabs>
          <w:tab w:leader="none" w:pos="1006" w:val="left"/>
        </w:tabs>
        <w:numPr>
          <w:ilvl w:val="0"/>
          <w:numId w:val="3"/>
        </w:numPr>
        <w:rPr>
          <w:rFonts w:ascii="Verdana" w:cs="Verdana" w:eastAsia="Verdana" w:hAnsi="Verdana"/>
          <w:sz w:val="20"/>
          <w:szCs w:val="20"/>
          <w:color w:val="auto"/>
        </w:rPr>
      </w:pPr>
      <w:r>
        <w:rPr>
          <w:rFonts w:ascii="Verdana" w:cs="Verdana" w:eastAsia="Verdana" w:hAnsi="Verdana"/>
          <w:sz w:val="20"/>
          <w:szCs w:val="20"/>
          <w:color w:val="auto"/>
        </w:rPr>
        <w:t xml:space="preserve">Si destina la somma residua non utilizzata (€ </w:t>
      </w:r>
      <w:r>
        <w:rPr>
          <w:rFonts w:ascii="Verdana" w:cs="Verdana" w:eastAsia="Verdana" w:hAnsi="Verdana"/>
          <w:sz w:val="20"/>
          <w:szCs w:val="20"/>
          <w:b w:val="1"/>
          <w:bCs w:val="1"/>
          <w:color w:val="auto"/>
        </w:rPr>
        <w:t>139.098,63</w:t>
      </w:r>
      <w:r>
        <w:rPr>
          <w:rFonts w:ascii="Verdana" w:cs="Verdana" w:eastAsia="Verdana" w:hAnsi="Verdana"/>
          <w:sz w:val="20"/>
          <w:szCs w:val="20"/>
          <w:color w:val="auto"/>
        </w:rPr>
        <w:t>) all’integrazione della quota relativa alla retribuzione di posizione parte variabile in modo da avvicinare gli importi a quelli già corrisposti in acconto, nel rispetto del divieto di superare le somme percepite nell’anno 2010, prescritto dall’art.9 comma 1 del D.L. n. 78/2010 e dalla circolare MEF/RGS n.12 del 15/04/2011.</w:t>
      </w:r>
    </w:p>
    <w:p>
      <w:pPr>
        <w:spacing w:after="0" w:line="3" w:lineRule="exact"/>
        <w:rPr>
          <w:rFonts w:ascii="Verdana" w:cs="Verdana" w:eastAsia="Verdana" w:hAnsi="Verdana"/>
          <w:sz w:val="20"/>
          <w:szCs w:val="20"/>
          <w:color w:val="auto"/>
        </w:rPr>
      </w:pPr>
    </w:p>
    <w:p>
      <w:pPr>
        <w:jc w:val="both"/>
        <w:spacing w:after="0" w:line="248" w:lineRule="auto"/>
        <w:rPr>
          <w:rFonts w:ascii="Verdana" w:cs="Verdana" w:eastAsia="Verdana" w:hAnsi="Verdana"/>
          <w:sz w:val="20"/>
          <w:szCs w:val="20"/>
          <w:color w:val="auto"/>
        </w:rPr>
      </w:pPr>
      <w:r>
        <w:rPr>
          <w:rFonts w:ascii="Verdana" w:cs="Verdana" w:eastAsia="Verdana" w:hAnsi="Verdana"/>
          <w:sz w:val="20"/>
          <w:szCs w:val="20"/>
          <w:color w:val="auto"/>
        </w:rPr>
        <w:t xml:space="preserve">In relazione a n.183 dirigenti in servizio (n. 176 unità in servizio per l’intero anno scolastico, n.3 dirigenti con congedo al 30% e n. 4 dirigenti cessati nel corso dell’anno scolastico) si utilizza l’intero budget destinato alla retribuzione di posizione parte variabile che pertanto passa da € 1.414.169,36 ad </w:t>
      </w:r>
      <w:r>
        <w:rPr>
          <w:rFonts w:ascii="Verdana" w:cs="Verdana" w:eastAsia="Verdana" w:hAnsi="Verdana"/>
          <w:sz w:val="20"/>
          <w:szCs w:val="20"/>
          <w:b w:val="1"/>
          <w:bCs w:val="1"/>
          <w:color w:val="auto"/>
        </w:rPr>
        <w:t>€ 1.553.267,98.</w:t>
      </w:r>
    </w:p>
    <w:p>
      <w:pPr>
        <w:spacing w:after="0" w:line="209" w:lineRule="exact"/>
        <w:rPr>
          <w:rFonts w:ascii="Verdana" w:cs="Verdana" w:eastAsia="Verdana" w:hAnsi="Verdana"/>
          <w:sz w:val="20"/>
          <w:szCs w:val="20"/>
          <w:color w:val="auto"/>
        </w:rPr>
      </w:pPr>
    </w:p>
    <w:p>
      <w:pPr>
        <w:jc w:val="both"/>
        <w:ind w:firstLine="716"/>
        <w:spacing w:after="0" w:line="253" w:lineRule="auto"/>
        <w:tabs>
          <w:tab w:leader="none" w:pos="1008" w:val="left"/>
        </w:tabs>
        <w:numPr>
          <w:ilvl w:val="0"/>
          <w:numId w:val="3"/>
        </w:numPr>
        <w:rPr>
          <w:rFonts w:ascii="Verdana" w:cs="Verdana" w:eastAsia="Verdana" w:hAnsi="Verdana"/>
          <w:sz w:val="20"/>
          <w:szCs w:val="20"/>
          <w:color w:val="auto"/>
        </w:rPr>
      </w:pPr>
      <w:r>
        <w:rPr>
          <w:rFonts w:ascii="Verdana" w:cs="Verdana" w:eastAsia="Verdana" w:hAnsi="Verdana"/>
          <w:sz w:val="20"/>
          <w:szCs w:val="20"/>
          <w:color w:val="auto"/>
        </w:rPr>
        <w:t>A decorrere dal 1° settembre 2015 i valori annui lordi per tredici mensilità delle retribuzioni di posizione, parte variabile, relativi alle fasce di complessità delle istituzioni scolastiche, sono determinati come di seguito:</w:t>
      </w:r>
    </w:p>
    <w:p>
      <w:pPr>
        <w:spacing w:after="0" w:line="200" w:lineRule="exact"/>
        <w:rPr>
          <w:sz w:val="20"/>
          <w:szCs w:val="20"/>
          <w:color w:val="auto"/>
        </w:rPr>
      </w:pPr>
    </w:p>
    <w:p>
      <w:pPr>
        <w:spacing w:after="0" w:line="235" w:lineRule="exact"/>
        <w:rPr>
          <w:sz w:val="20"/>
          <w:szCs w:val="20"/>
          <w:color w:val="auto"/>
        </w:rPr>
      </w:pPr>
    </w:p>
    <w:tbl>
      <w:tblPr>
        <w:tblLayout w:type="fixed"/>
        <w:tblInd w:w="370" w:type="dxa"/>
        <w:tblCellMar>
          <w:top w:w="0" w:type="dxa"/>
          <w:left w:w="0" w:type="dxa"/>
          <w:bottom w:w="0" w:type="dxa"/>
          <w:right w:w="0" w:type="dxa"/>
        </w:tblCellMar>
      </w:tblPr>
      <w:tr>
        <w:trPr>
          <w:trHeight w:val="250"/>
        </w:trPr>
        <w:tc>
          <w:tcPr>
            <w:tcW w:w="2500" w:type="dxa"/>
            <w:vAlign w:val="bottom"/>
            <w:tcBorders>
              <w:top w:val="single" w:sz="8" w:color="auto"/>
              <w:left w:val="single" w:sz="8" w:color="auto"/>
              <w:right w:val="single" w:sz="8" w:color="auto"/>
            </w:tcBorders>
            <w:shd w:val="clear" w:color="auto" w:fill="E6E6E6"/>
          </w:tcPr>
          <w:p>
            <w:pPr>
              <w:ind w:left="120"/>
              <w:spacing w:after="0" w:line="242" w:lineRule="exact"/>
              <w:rPr>
                <w:sz w:val="20"/>
                <w:szCs w:val="20"/>
                <w:color w:val="auto"/>
              </w:rPr>
            </w:pPr>
            <w:r>
              <w:rPr>
                <w:rFonts w:ascii="Verdana" w:cs="Verdana" w:eastAsia="Verdana" w:hAnsi="Verdana"/>
                <w:sz w:val="20"/>
                <w:szCs w:val="20"/>
                <w:b w:val="1"/>
                <w:bCs w:val="1"/>
                <w:color w:val="auto"/>
              </w:rPr>
              <w:t>Fasce</w:t>
            </w:r>
          </w:p>
        </w:tc>
        <w:tc>
          <w:tcPr>
            <w:tcW w:w="3260" w:type="dxa"/>
            <w:vAlign w:val="bottom"/>
            <w:tcBorders>
              <w:top w:val="single" w:sz="8" w:color="auto"/>
              <w:right w:val="single" w:sz="8" w:color="auto"/>
            </w:tcBorders>
            <w:shd w:val="clear" w:color="auto" w:fill="E6E6E6"/>
          </w:tcPr>
          <w:p>
            <w:pPr>
              <w:jc w:val="center"/>
              <w:spacing w:after="0" w:line="242" w:lineRule="exact"/>
              <w:rPr>
                <w:sz w:val="20"/>
                <w:szCs w:val="20"/>
                <w:color w:val="auto"/>
              </w:rPr>
            </w:pPr>
            <w:r>
              <w:rPr>
                <w:rFonts w:ascii="Verdana" w:cs="Verdana" w:eastAsia="Verdana" w:hAnsi="Verdana"/>
                <w:sz w:val="20"/>
                <w:szCs w:val="20"/>
                <w:b w:val="1"/>
                <w:bCs w:val="1"/>
                <w:color w:val="auto"/>
                <w:w w:val="99"/>
              </w:rPr>
              <w:t>Importo annuo lordo</w:t>
            </w:r>
          </w:p>
        </w:tc>
        <w:tc>
          <w:tcPr>
            <w:tcW w:w="3260" w:type="dxa"/>
            <w:vAlign w:val="bottom"/>
            <w:tcBorders>
              <w:top w:val="single" w:sz="8" w:color="auto"/>
              <w:right w:val="single" w:sz="8" w:color="auto"/>
            </w:tcBorders>
            <w:shd w:val="clear" w:color="auto" w:fill="E6E6E6"/>
          </w:tcPr>
          <w:p>
            <w:pPr>
              <w:jc w:val="right"/>
              <w:ind w:right="600"/>
              <w:spacing w:after="0" w:line="242" w:lineRule="exact"/>
              <w:rPr>
                <w:sz w:val="20"/>
                <w:szCs w:val="20"/>
                <w:color w:val="auto"/>
              </w:rPr>
            </w:pPr>
            <w:r>
              <w:rPr>
                <w:rFonts w:ascii="Verdana" w:cs="Verdana" w:eastAsia="Verdana" w:hAnsi="Verdana"/>
                <w:sz w:val="20"/>
                <w:szCs w:val="20"/>
                <w:i w:val="1"/>
                <w:iCs w:val="1"/>
                <w:color w:val="auto"/>
              </w:rPr>
              <w:t>Importi annui lordi</w:t>
            </w:r>
          </w:p>
        </w:tc>
      </w:tr>
      <w:tr>
        <w:trPr>
          <w:trHeight w:val="257"/>
        </w:trPr>
        <w:tc>
          <w:tcPr>
            <w:tcW w:w="2500" w:type="dxa"/>
            <w:vAlign w:val="bottom"/>
            <w:tcBorders>
              <w:left w:val="single" w:sz="8" w:color="auto"/>
              <w:bottom w:val="single" w:sz="8" w:color="auto"/>
              <w:right w:val="single" w:sz="8" w:color="auto"/>
            </w:tcBorders>
            <w:shd w:val="clear" w:color="auto" w:fill="E6E6E6"/>
          </w:tcPr>
          <w:p>
            <w:pPr>
              <w:spacing w:after="0"/>
              <w:rPr>
                <w:sz w:val="22"/>
                <w:szCs w:val="22"/>
                <w:color w:val="auto"/>
              </w:rPr>
            </w:pPr>
          </w:p>
        </w:tc>
        <w:tc>
          <w:tcPr>
            <w:tcW w:w="3260" w:type="dxa"/>
            <w:vAlign w:val="bottom"/>
            <w:tcBorders>
              <w:bottom w:val="single" w:sz="8" w:color="auto"/>
              <w:right w:val="single" w:sz="8" w:color="auto"/>
            </w:tcBorders>
            <w:shd w:val="clear" w:color="auto" w:fill="E6E6E6"/>
          </w:tcPr>
          <w:p>
            <w:pPr>
              <w:jc w:val="center"/>
              <w:spacing w:after="0"/>
              <w:rPr>
                <w:sz w:val="20"/>
                <w:szCs w:val="20"/>
                <w:color w:val="auto"/>
              </w:rPr>
            </w:pPr>
            <w:r>
              <w:rPr>
                <w:rFonts w:ascii="Verdana" w:cs="Verdana" w:eastAsia="Verdana" w:hAnsi="Verdana"/>
                <w:sz w:val="20"/>
                <w:szCs w:val="20"/>
                <w:b w:val="1"/>
                <w:bCs w:val="1"/>
                <w:color w:val="auto"/>
                <w:w w:val="99"/>
                <w:shd w:val="clear" w:color="auto" w:fill="E6E6E6"/>
              </w:rPr>
              <w:t>dall’1.9.2015 al 31.8.2016</w:t>
            </w:r>
          </w:p>
        </w:tc>
        <w:tc>
          <w:tcPr>
            <w:tcW w:w="3260" w:type="dxa"/>
            <w:vAlign w:val="bottom"/>
            <w:tcBorders>
              <w:bottom w:val="single" w:sz="8" w:color="auto"/>
              <w:right w:val="single" w:sz="8" w:color="auto"/>
            </w:tcBorders>
            <w:shd w:val="clear" w:color="auto" w:fill="E6E6E6"/>
          </w:tcPr>
          <w:p>
            <w:pPr>
              <w:jc w:val="right"/>
              <w:ind w:right="780"/>
              <w:spacing w:after="0"/>
              <w:rPr>
                <w:sz w:val="20"/>
                <w:szCs w:val="20"/>
                <w:color w:val="auto"/>
              </w:rPr>
            </w:pPr>
            <w:r>
              <w:rPr>
                <w:rFonts w:ascii="Verdana" w:cs="Verdana" w:eastAsia="Verdana" w:hAnsi="Verdana"/>
                <w:sz w:val="20"/>
                <w:szCs w:val="20"/>
                <w:i w:val="1"/>
                <w:iCs w:val="1"/>
                <w:color w:val="auto"/>
              </w:rPr>
              <w:t>CIR 2010/2011</w:t>
            </w:r>
          </w:p>
        </w:tc>
      </w:tr>
      <w:tr>
        <w:trPr>
          <w:trHeight w:val="277"/>
        </w:trPr>
        <w:tc>
          <w:tcPr>
            <w:tcW w:w="2500" w:type="dxa"/>
            <w:vAlign w:val="bottom"/>
            <w:tcBorders>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1^ Fascia</w:t>
            </w:r>
          </w:p>
        </w:tc>
        <w:tc>
          <w:tcPr>
            <w:tcW w:w="3260" w:type="dxa"/>
            <w:vAlign w:val="bottom"/>
            <w:tcBorders>
              <w:bottom w:val="single" w:sz="8" w:color="auto"/>
              <w:right w:val="single" w:sz="8" w:color="auto"/>
            </w:tcBorders>
          </w:tcPr>
          <w:p>
            <w:pPr>
              <w:jc w:val="center"/>
              <w:spacing w:after="0"/>
              <w:rPr>
                <w:sz w:val="20"/>
                <w:szCs w:val="20"/>
                <w:color w:val="auto"/>
              </w:rPr>
            </w:pPr>
            <w:r>
              <w:rPr>
                <w:rFonts w:ascii="Verdana" w:cs="Verdana" w:eastAsia="Verdana" w:hAnsi="Verdana"/>
                <w:sz w:val="20"/>
                <w:szCs w:val="20"/>
                <w:b w:val="1"/>
                <w:bCs w:val="1"/>
                <w:color w:val="auto"/>
                <w:w w:val="99"/>
              </w:rPr>
              <w:t>€ 10.602,24</w:t>
            </w:r>
          </w:p>
        </w:tc>
        <w:tc>
          <w:tcPr>
            <w:tcW w:w="3260" w:type="dxa"/>
            <w:vAlign w:val="bottom"/>
            <w:tcBorders>
              <w:bottom w:val="single" w:sz="8" w:color="auto"/>
              <w:right w:val="single" w:sz="8" w:color="auto"/>
            </w:tcBorders>
          </w:tcPr>
          <w:p>
            <w:pPr>
              <w:jc w:val="right"/>
              <w:ind w:right="20"/>
              <w:spacing w:after="0"/>
              <w:rPr>
                <w:sz w:val="20"/>
                <w:szCs w:val="20"/>
                <w:color w:val="auto"/>
              </w:rPr>
            </w:pPr>
            <w:r>
              <w:rPr>
                <w:rFonts w:ascii="Verdana" w:cs="Verdana" w:eastAsia="Verdana" w:hAnsi="Verdana"/>
                <w:sz w:val="20"/>
                <w:szCs w:val="20"/>
                <w:i w:val="1"/>
                <w:iCs w:val="1"/>
                <w:color w:val="auto"/>
              </w:rPr>
              <w:t>€ 11.445,78</w:t>
            </w:r>
          </w:p>
        </w:tc>
      </w:tr>
      <w:tr>
        <w:trPr>
          <w:trHeight w:val="278"/>
        </w:trPr>
        <w:tc>
          <w:tcPr>
            <w:tcW w:w="2500" w:type="dxa"/>
            <w:vAlign w:val="bottom"/>
            <w:tcBorders>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2^ Fascia</w:t>
            </w:r>
          </w:p>
        </w:tc>
        <w:tc>
          <w:tcPr>
            <w:tcW w:w="3260" w:type="dxa"/>
            <w:vAlign w:val="bottom"/>
            <w:tcBorders>
              <w:bottom w:val="single" w:sz="8" w:color="auto"/>
              <w:right w:val="single" w:sz="8" w:color="auto"/>
            </w:tcBorders>
          </w:tcPr>
          <w:p>
            <w:pPr>
              <w:jc w:val="center"/>
              <w:spacing w:after="0"/>
              <w:rPr>
                <w:sz w:val="20"/>
                <w:szCs w:val="20"/>
                <w:color w:val="auto"/>
              </w:rPr>
            </w:pPr>
            <w:r>
              <w:rPr>
                <w:rFonts w:ascii="Verdana" w:cs="Verdana" w:eastAsia="Verdana" w:hAnsi="Verdana"/>
                <w:sz w:val="20"/>
                <w:szCs w:val="20"/>
                <w:b w:val="1"/>
                <w:bCs w:val="1"/>
                <w:color w:val="auto"/>
              </w:rPr>
              <w:t>€ 8.151,18</w:t>
            </w:r>
          </w:p>
        </w:tc>
        <w:tc>
          <w:tcPr>
            <w:tcW w:w="3260" w:type="dxa"/>
            <w:vAlign w:val="bottom"/>
            <w:tcBorders>
              <w:bottom w:val="single" w:sz="8" w:color="auto"/>
              <w:right w:val="single" w:sz="8" w:color="auto"/>
            </w:tcBorders>
          </w:tcPr>
          <w:p>
            <w:pPr>
              <w:jc w:val="right"/>
              <w:ind w:right="20"/>
              <w:spacing w:after="0"/>
              <w:rPr>
                <w:sz w:val="20"/>
                <w:szCs w:val="20"/>
                <w:color w:val="auto"/>
              </w:rPr>
            </w:pPr>
            <w:r>
              <w:rPr>
                <w:rFonts w:ascii="Verdana" w:cs="Verdana" w:eastAsia="Verdana" w:hAnsi="Verdana"/>
                <w:sz w:val="20"/>
                <w:szCs w:val="20"/>
                <w:i w:val="1"/>
                <w:iCs w:val="1"/>
                <w:color w:val="auto"/>
              </w:rPr>
              <w:t>€ 8.804,44</w:t>
            </w:r>
          </w:p>
        </w:tc>
      </w:tr>
      <w:tr>
        <w:trPr>
          <w:trHeight w:val="278"/>
        </w:trPr>
        <w:tc>
          <w:tcPr>
            <w:tcW w:w="2500" w:type="dxa"/>
            <w:vAlign w:val="bottom"/>
            <w:tcBorders>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3^ Fascia</w:t>
            </w:r>
          </w:p>
        </w:tc>
        <w:tc>
          <w:tcPr>
            <w:tcW w:w="3260" w:type="dxa"/>
            <w:vAlign w:val="bottom"/>
            <w:tcBorders>
              <w:bottom w:val="single" w:sz="8" w:color="auto"/>
              <w:right w:val="single" w:sz="8" w:color="auto"/>
            </w:tcBorders>
          </w:tcPr>
          <w:p>
            <w:pPr>
              <w:jc w:val="center"/>
              <w:spacing w:after="0"/>
              <w:rPr>
                <w:sz w:val="20"/>
                <w:szCs w:val="20"/>
                <w:color w:val="auto"/>
              </w:rPr>
            </w:pPr>
            <w:r>
              <w:rPr>
                <w:rFonts w:ascii="Verdana" w:cs="Verdana" w:eastAsia="Verdana" w:hAnsi="Verdana"/>
                <w:sz w:val="20"/>
                <w:szCs w:val="20"/>
                <w:b w:val="1"/>
                <w:bCs w:val="1"/>
                <w:color w:val="auto"/>
              </w:rPr>
              <w:t>€ 5.700,13</w:t>
            </w:r>
          </w:p>
        </w:tc>
        <w:tc>
          <w:tcPr>
            <w:tcW w:w="3260" w:type="dxa"/>
            <w:vAlign w:val="bottom"/>
            <w:tcBorders>
              <w:bottom w:val="single" w:sz="8" w:color="auto"/>
              <w:right w:val="single" w:sz="8" w:color="auto"/>
            </w:tcBorders>
          </w:tcPr>
          <w:p>
            <w:pPr>
              <w:jc w:val="right"/>
              <w:ind w:right="20"/>
              <w:spacing w:after="0"/>
              <w:rPr>
                <w:sz w:val="20"/>
                <w:szCs w:val="20"/>
                <w:color w:val="auto"/>
              </w:rPr>
            </w:pPr>
            <w:r>
              <w:rPr>
                <w:rFonts w:ascii="Verdana" w:cs="Verdana" w:eastAsia="Verdana" w:hAnsi="Verdana"/>
                <w:sz w:val="20"/>
                <w:szCs w:val="20"/>
                <w:i w:val="1"/>
                <w:iCs w:val="1"/>
                <w:color w:val="auto"/>
              </w:rPr>
              <w:t>€ 6.163,11</w:t>
            </w:r>
          </w:p>
        </w:tc>
      </w:tr>
    </w:tbl>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240" w:right="1600" w:hanging="628"/>
        <w:spacing w:after="0" w:line="279" w:lineRule="auto"/>
        <w:rPr>
          <w:rFonts w:ascii="Arial" w:cs="Arial" w:eastAsia="Arial" w:hAnsi="Arial"/>
          <w:sz w:val="16"/>
          <w:szCs w:val="16"/>
          <w:color w:val="auto"/>
        </w:rPr>
      </w:pPr>
      <w:r>
        <w:rPr>
          <w:rFonts w:ascii="Arial" w:cs="Arial" w:eastAsia="Arial" w:hAnsi="Arial"/>
          <w:sz w:val="16"/>
          <w:szCs w:val="16"/>
          <w:color w:val="auto"/>
        </w:rPr>
        <w:t xml:space="preserve">Via Ulisse Nurzia – Loc. Boschetto di Pile – L’Aquila Tel: 0862. 5741 Fax: 0862.574231 e-mail: </w:t>
      </w:r>
      <w:hyperlink r:id="rId9">
        <w:r>
          <w:rPr>
            <w:rFonts w:ascii="Arial" w:cs="Arial" w:eastAsia="Arial" w:hAnsi="Arial"/>
            <w:sz w:val="16"/>
            <w:szCs w:val="16"/>
            <w:u w:val="single" w:color="auto"/>
            <w:color w:val="0000FF"/>
          </w:rPr>
          <w:t>direzione-abruzzo@istruzione.it</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 xml:space="preserve">sito: </w:t>
      </w:r>
      <w:hyperlink r:id="rId10">
        <w:r>
          <w:rPr>
            <w:rFonts w:ascii="Arial" w:cs="Arial" w:eastAsia="Arial" w:hAnsi="Arial"/>
            <w:sz w:val="16"/>
            <w:szCs w:val="16"/>
            <w:u w:val="single" w:color="auto"/>
            <w:color w:val="0000FF"/>
          </w:rPr>
          <w:t>www.abruzzo.istruzione.it</w:t>
        </w:r>
      </w:hyperlink>
    </w:p>
    <w:p>
      <w:pPr>
        <w:sectPr>
          <w:pgSz w:w="11900" w:h="16838" w:orient="portrait"/>
          <w:cols w:equalWidth="0" w:num="1">
            <w:col w:w="9420"/>
          </w:cols>
          <w:pgMar w:left="1240" w:top="1440" w:right="1240" w:bottom="415" w:gutter="0" w:footer="0" w:header="0"/>
        </w:sectPr>
      </w:pPr>
    </w:p>
    <w:bookmarkStart w:id="3" w:name="page4"/>
    <w:bookmarkEnd w:id="3"/>
    <w:p>
      <w:pPr>
        <w:spacing w:after="0" w:line="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3484880</wp:posOffset>
            </wp:positionH>
            <wp:positionV relativeFrom="page">
              <wp:posOffset>233680</wp:posOffset>
            </wp:positionV>
            <wp:extent cx="581025" cy="6762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ind w:left="300"/>
        <w:spacing w:after="0"/>
        <w:rPr>
          <w:sz w:val="20"/>
          <w:szCs w:val="20"/>
          <w:color w:val="auto"/>
        </w:rPr>
      </w:pPr>
      <w:r>
        <w:rPr>
          <w:rFonts w:ascii="Times New Roman" w:cs="Times New Roman" w:eastAsia="Times New Roman" w:hAnsi="Times New Roman"/>
          <w:sz w:val="40"/>
          <w:szCs w:val="40"/>
          <w:color w:val="auto"/>
        </w:rPr>
        <w:t>Ministero dell’Istruzione, dell’Università e della Ricerca</w:t>
      </w:r>
    </w:p>
    <w:p>
      <w:pPr>
        <w:spacing w:after="0" w:line="157" w:lineRule="exact"/>
        <w:rPr>
          <w:sz w:val="20"/>
          <w:szCs w:val="20"/>
          <w:color w:val="auto"/>
        </w:rPr>
      </w:pPr>
    </w:p>
    <w:p>
      <w:pPr>
        <w:ind w:left="1660"/>
        <w:spacing w:after="0"/>
        <w:rPr>
          <w:sz w:val="20"/>
          <w:szCs w:val="20"/>
          <w:color w:val="auto"/>
        </w:rPr>
      </w:pPr>
      <w:r>
        <w:rPr>
          <w:rFonts w:ascii="Times New Roman" w:cs="Times New Roman" w:eastAsia="Times New Roman" w:hAnsi="Times New Roman"/>
          <w:sz w:val="44"/>
          <w:szCs w:val="44"/>
          <w:color w:val="auto"/>
        </w:rPr>
        <w:t>Ufficio Scolastico Regionale per l’Abruzzo</w:t>
      </w:r>
    </w:p>
    <w:p>
      <w:pPr>
        <w:spacing w:after="0" w:line="56" w:lineRule="exact"/>
        <w:rPr>
          <w:sz w:val="20"/>
          <w:szCs w:val="20"/>
          <w:color w:val="auto"/>
        </w:rPr>
      </w:pPr>
    </w:p>
    <w:p>
      <w:pPr>
        <w:ind w:left="274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1340"/>
        <w:spacing w:after="0"/>
        <w:rPr>
          <w:sz w:val="20"/>
          <w:szCs w:val="20"/>
          <w:color w:val="auto"/>
        </w:rPr>
      </w:pPr>
      <w:r>
        <w:rPr>
          <w:rFonts w:ascii="Verdana" w:cs="Verdana" w:eastAsia="Verdana" w:hAnsi="Verdana"/>
          <w:sz w:val="20"/>
          <w:szCs w:val="20"/>
          <w:b w:val="1"/>
          <w:bCs w:val="1"/>
          <w:color w:val="auto"/>
        </w:rPr>
        <w:t>Art.4 - Retribuzione delle reggenze anno scolastico 2015-16</w:t>
      </w:r>
    </w:p>
    <w:p>
      <w:pPr>
        <w:spacing w:after="0" w:line="246" w:lineRule="exact"/>
        <w:rPr>
          <w:sz w:val="20"/>
          <w:szCs w:val="20"/>
          <w:color w:val="auto"/>
        </w:rPr>
      </w:pPr>
    </w:p>
    <w:p>
      <w:pPr>
        <w:jc w:val="both"/>
        <w:ind w:firstLine="708"/>
        <w:spacing w:after="0" w:line="246" w:lineRule="auto"/>
        <w:rPr>
          <w:sz w:val="20"/>
          <w:szCs w:val="20"/>
          <w:color w:val="auto"/>
        </w:rPr>
      </w:pPr>
      <w:r>
        <w:rPr>
          <w:rFonts w:ascii="Verdana" w:cs="Verdana" w:eastAsia="Verdana" w:hAnsi="Verdana"/>
          <w:sz w:val="20"/>
          <w:szCs w:val="20"/>
          <w:color w:val="auto"/>
        </w:rPr>
        <w:t>1. In applicazione dell’art. 2 comma 2 del CIN sottoscritto il 22 febbraio 2007, i valori della retribuzione per le reggenze sono determinati nella misura dell’80% della retribuzione di posizione parte variabile corrispondente alla fascia di complessità dell’istituto assegnato in reggenza. Pertanto la misura dei compensi relativi alle reggenze a decorrere dal 1° settembre 2015, erogata in relazione alla durata dell’incarico, è la seguente:</w:t>
      </w:r>
    </w:p>
    <w:p>
      <w:pPr>
        <w:spacing w:after="0" w:line="200" w:lineRule="exact"/>
        <w:rPr>
          <w:sz w:val="20"/>
          <w:szCs w:val="20"/>
          <w:color w:val="auto"/>
        </w:rPr>
      </w:pPr>
    </w:p>
    <w:p>
      <w:pPr>
        <w:spacing w:after="0" w:line="244" w:lineRule="exact"/>
        <w:rPr>
          <w:sz w:val="20"/>
          <w:szCs w:val="20"/>
          <w:color w:val="auto"/>
        </w:rPr>
      </w:pPr>
    </w:p>
    <w:tbl>
      <w:tblPr>
        <w:tblLayout w:type="fixed"/>
        <w:tblInd w:w="390" w:type="dxa"/>
        <w:tblCellMar>
          <w:top w:w="0" w:type="dxa"/>
          <w:left w:w="0" w:type="dxa"/>
          <w:bottom w:w="0" w:type="dxa"/>
          <w:right w:w="0" w:type="dxa"/>
        </w:tblCellMar>
      </w:tblPr>
      <w:tr>
        <w:trPr>
          <w:trHeight w:val="303"/>
        </w:trPr>
        <w:tc>
          <w:tcPr>
            <w:tcW w:w="2620" w:type="dxa"/>
            <w:vAlign w:val="bottom"/>
            <w:tcBorders>
              <w:top w:val="single" w:sz="8" w:color="auto"/>
              <w:left w:val="single" w:sz="8" w:color="auto"/>
              <w:bottom w:val="single" w:sz="8" w:color="E6E6E6"/>
              <w:right w:val="single" w:sz="8" w:color="auto"/>
            </w:tcBorders>
            <w:shd w:val="clear" w:color="auto" w:fill="E6E6E6"/>
          </w:tcPr>
          <w:p>
            <w:pPr>
              <w:ind w:left="120"/>
              <w:spacing w:after="0"/>
              <w:rPr>
                <w:sz w:val="20"/>
                <w:szCs w:val="20"/>
                <w:color w:val="auto"/>
              </w:rPr>
            </w:pPr>
            <w:r>
              <w:rPr>
                <w:rFonts w:ascii="Verdana" w:cs="Verdana" w:eastAsia="Verdana" w:hAnsi="Verdana"/>
                <w:sz w:val="20"/>
                <w:szCs w:val="20"/>
                <w:b w:val="1"/>
                <w:bCs w:val="1"/>
                <w:color w:val="auto"/>
              </w:rPr>
              <w:t>Fasce</w:t>
            </w:r>
          </w:p>
        </w:tc>
        <w:tc>
          <w:tcPr>
            <w:tcW w:w="4380" w:type="dxa"/>
            <w:vAlign w:val="bottom"/>
            <w:tcBorders>
              <w:top w:val="single" w:sz="8" w:color="auto"/>
              <w:bottom w:val="single" w:sz="8" w:color="E6E6E6"/>
              <w:right w:val="single" w:sz="8" w:color="auto"/>
            </w:tcBorders>
            <w:shd w:val="clear" w:color="auto" w:fill="E6E6E6"/>
          </w:tcPr>
          <w:p>
            <w:pPr>
              <w:ind w:left="100"/>
              <w:spacing w:after="0"/>
              <w:rPr>
                <w:sz w:val="20"/>
                <w:szCs w:val="20"/>
                <w:color w:val="auto"/>
              </w:rPr>
            </w:pPr>
            <w:r>
              <w:rPr>
                <w:rFonts w:ascii="Verdana" w:cs="Verdana" w:eastAsia="Verdana" w:hAnsi="Verdana"/>
                <w:sz w:val="20"/>
                <w:szCs w:val="20"/>
                <w:b w:val="1"/>
                <w:bCs w:val="1"/>
                <w:color w:val="auto"/>
              </w:rPr>
              <w:t>Importo annuo lordo a.s. 2015/16</w:t>
            </w:r>
          </w:p>
        </w:tc>
      </w:tr>
      <w:tr>
        <w:trPr>
          <w:trHeight w:val="277"/>
        </w:trPr>
        <w:tc>
          <w:tcPr>
            <w:tcW w:w="2620" w:type="dxa"/>
            <w:vAlign w:val="bottom"/>
            <w:tcBorders>
              <w:top w:val="single" w:sz="8" w:color="auto"/>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1^ Fascia</w:t>
            </w:r>
          </w:p>
        </w:tc>
        <w:tc>
          <w:tcPr>
            <w:tcW w:w="4380" w:type="dxa"/>
            <w:vAlign w:val="bottom"/>
            <w:tcBorders>
              <w:top w:val="single" w:sz="8" w:color="auto"/>
              <w:bottom w:val="single" w:sz="8" w:color="auto"/>
              <w:right w:val="single" w:sz="8" w:color="auto"/>
            </w:tcBorders>
          </w:tcPr>
          <w:p>
            <w:pPr>
              <w:ind w:left="1580"/>
              <w:spacing w:after="0"/>
              <w:rPr>
                <w:sz w:val="20"/>
                <w:szCs w:val="20"/>
                <w:color w:val="auto"/>
              </w:rPr>
            </w:pPr>
            <w:r>
              <w:rPr>
                <w:rFonts w:ascii="Verdana" w:cs="Verdana" w:eastAsia="Verdana" w:hAnsi="Verdana"/>
                <w:sz w:val="20"/>
                <w:szCs w:val="20"/>
                <w:b w:val="1"/>
                <w:bCs w:val="1"/>
                <w:color w:val="auto"/>
              </w:rPr>
              <w:t>€ 8.481,79</w:t>
            </w:r>
          </w:p>
        </w:tc>
      </w:tr>
      <w:tr>
        <w:trPr>
          <w:trHeight w:val="278"/>
        </w:trPr>
        <w:tc>
          <w:tcPr>
            <w:tcW w:w="2620" w:type="dxa"/>
            <w:vAlign w:val="bottom"/>
            <w:tcBorders>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2^ Fascia</w:t>
            </w:r>
          </w:p>
        </w:tc>
        <w:tc>
          <w:tcPr>
            <w:tcW w:w="4380" w:type="dxa"/>
            <w:vAlign w:val="bottom"/>
            <w:tcBorders>
              <w:bottom w:val="single" w:sz="8" w:color="auto"/>
              <w:right w:val="single" w:sz="8" w:color="auto"/>
            </w:tcBorders>
          </w:tcPr>
          <w:p>
            <w:pPr>
              <w:ind w:left="1580"/>
              <w:spacing w:after="0"/>
              <w:rPr>
                <w:sz w:val="20"/>
                <w:szCs w:val="20"/>
                <w:color w:val="auto"/>
              </w:rPr>
            </w:pPr>
            <w:r>
              <w:rPr>
                <w:rFonts w:ascii="Verdana" w:cs="Verdana" w:eastAsia="Verdana" w:hAnsi="Verdana"/>
                <w:sz w:val="20"/>
                <w:szCs w:val="20"/>
                <w:b w:val="1"/>
                <w:bCs w:val="1"/>
                <w:color w:val="auto"/>
              </w:rPr>
              <w:t>€ 6.520,95</w:t>
            </w:r>
          </w:p>
        </w:tc>
      </w:tr>
      <w:tr>
        <w:trPr>
          <w:trHeight w:val="280"/>
        </w:trPr>
        <w:tc>
          <w:tcPr>
            <w:tcW w:w="2620" w:type="dxa"/>
            <w:vAlign w:val="bottom"/>
            <w:tcBorders>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3^ Fascia</w:t>
            </w:r>
          </w:p>
        </w:tc>
        <w:tc>
          <w:tcPr>
            <w:tcW w:w="4380" w:type="dxa"/>
            <w:vAlign w:val="bottom"/>
            <w:tcBorders>
              <w:bottom w:val="single" w:sz="8" w:color="auto"/>
              <w:right w:val="single" w:sz="8" w:color="auto"/>
            </w:tcBorders>
          </w:tcPr>
          <w:p>
            <w:pPr>
              <w:ind w:left="1580"/>
              <w:spacing w:after="0"/>
              <w:rPr>
                <w:sz w:val="20"/>
                <w:szCs w:val="20"/>
                <w:color w:val="auto"/>
              </w:rPr>
            </w:pPr>
            <w:r>
              <w:rPr>
                <w:rFonts w:ascii="Verdana" w:cs="Verdana" w:eastAsia="Verdana" w:hAnsi="Verdana"/>
                <w:sz w:val="20"/>
                <w:szCs w:val="20"/>
                <w:b w:val="1"/>
                <w:bCs w:val="1"/>
                <w:color w:val="auto"/>
              </w:rPr>
              <w:t>€ 4.560,10</w:t>
            </w:r>
          </w:p>
        </w:tc>
      </w:tr>
    </w:tbl>
    <w:p>
      <w:pPr>
        <w:spacing w:after="0" w:line="200" w:lineRule="exact"/>
        <w:rPr>
          <w:sz w:val="20"/>
          <w:szCs w:val="20"/>
          <w:color w:val="auto"/>
        </w:rPr>
      </w:pPr>
    </w:p>
    <w:p>
      <w:pPr>
        <w:spacing w:after="0" w:line="273" w:lineRule="exact"/>
        <w:rPr>
          <w:sz w:val="20"/>
          <w:szCs w:val="20"/>
          <w:color w:val="auto"/>
        </w:rPr>
      </w:pPr>
    </w:p>
    <w:p>
      <w:pPr>
        <w:jc w:val="both"/>
        <w:ind w:firstLine="716"/>
        <w:spacing w:after="0" w:line="255" w:lineRule="auto"/>
        <w:tabs>
          <w:tab w:leader="none" w:pos="994" w:val="left"/>
        </w:tabs>
        <w:numPr>
          <w:ilvl w:val="0"/>
          <w:numId w:val="4"/>
        </w:numPr>
        <w:rPr>
          <w:rFonts w:ascii="Verdana" w:cs="Verdana" w:eastAsia="Verdana" w:hAnsi="Verdana"/>
          <w:sz w:val="20"/>
          <w:szCs w:val="20"/>
          <w:color w:val="auto"/>
        </w:rPr>
      </w:pPr>
      <w:r>
        <w:rPr>
          <w:rFonts w:ascii="Verdana" w:cs="Verdana" w:eastAsia="Verdana" w:hAnsi="Verdana"/>
          <w:sz w:val="20"/>
          <w:szCs w:val="20"/>
          <w:color w:val="auto"/>
        </w:rPr>
        <w:t xml:space="preserve">Risultano conferiti n. </w:t>
      </w:r>
      <w:r>
        <w:rPr>
          <w:rFonts w:ascii="Verdana" w:cs="Verdana" w:eastAsia="Verdana" w:hAnsi="Verdana"/>
          <w:sz w:val="20"/>
          <w:szCs w:val="20"/>
          <w:b w:val="1"/>
          <w:bCs w:val="1"/>
          <w:color w:val="auto"/>
        </w:rPr>
        <w:t>18</w:t>
      </w:r>
      <w:r>
        <w:rPr>
          <w:rFonts w:ascii="Verdana" w:cs="Verdana" w:eastAsia="Verdana" w:hAnsi="Verdana"/>
          <w:sz w:val="20"/>
          <w:szCs w:val="20"/>
          <w:color w:val="auto"/>
        </w:rPr>
        <w:t xml:space="preserve"> incarichi di reggenza annuali (n.6 di 2^ fascia e n. 12 di 3^ fascia) e n. </w:t>
      </w:r>
      <w:r>
        <w:rPr>
          <w:rFonts w:ascii="Verdana" w:cs="Verdana" w:eastAsia="Verdana" w:hAnsi="Verdana"/>
          <w:sz w:val="20"/>
          <w:szCs w:val="20"/>
          <w:b w:val="1"/>
          <w:bCs w:val="1"/>
          <w:color w:val="auto"/>
        </w:rPr>
        <w:t>8</w:t>
      </w:r>
      <w:r>
        <w:rPr>
          <w:rFonts w:ascii="Verdana" w:cs="Verdana" w:eastAsia="Verdana" w:hAnsi="Verdana"/>
          <w:sz w:val="20"/>
          <w:szCs w:val="20"/>
          <w:color w:val="auto"/>
        </w:rPr>
        <w:t xml:space="preserve"> incarichi di reggenza temporanei (n.1 di 1^ fascia, n.5 di 2^ fascia e n.2 di 3^ fascia).</w:t>
      </w:r>
    </w:p>
    <w:p>
      <w:pPr>
        <w:spacing w:after="0" w:line="197" w:lineRule="exact"/>
        <w:rPr>
          <w:rFonts w:ascii="Verdana" w:cs="Verdana" w:eastAsia="Verdana" w:hAnsi="Verdana"/>
          <w:sz w:val="20"/>
          <w:szCs w:val="20"/>
          <w:color w:val="auto"/>
        </w:rPr>
      </w:pPr>
    </w:p>
    <w:p>
      <w:pPr>
        <w:jc w:val="both"/>
        <w:ind w:firstLine="716"/>
        <w:spacing w:after="0" w:line="271" w:lineRule="auto"/>
        <w:tabs>
          <w:tab w:leader="none" w:pos="998" w:val="left"/>
        </w:tabs>
        <w:numPr>
          <w:ilvl w:val="0"/>
          <w:numId w:val="4"/>
        </w:numPr>
        <w:rPr>
          <w:rFonts w:ascii="Verdana" w:cs="Verdana" w:eastAsia="Verdana" w:hAnsi="Verdana"/>
          <w:sz w:val="20"/>
          <w:szCs w:val="20"/>
          <w:color w:val="auto"/>
        </w:rPr>
      </w:pPr>
      <w:r>
        <w:rPr>
          <w:rFonts w:ascii="Verdana" w:cs="Verdana" w:eastAsia="Verdana" w:hAnsi="Verdana"/>
          <w:sz w:val="20"/>
          <w:szCs w:val="20"/>
          <w:color w:val="auto"/>
        </w:rPr>
        <w:t xml:space="preserve">L’importo totale determinato secondo il comma 1 - pari ad </w:t>
      </w:r>
      <w:r>
        <w:rPr>
          <w:rFonts w:ascii="Verdana" w:cs="Verdana" w:eastAsia="Verdana" w:hAnsi="Verdana"/>
          <w:sz w:val="20"/>
          <w:szCs w:val="20"/>
          <w:b w:val="1"/>
          <w:bCs w:val="1"/>
          <w:color w:val="auto"/>
        </w:rPr>
        <w:t>€ 127.702,02 -</w:t>
      </w:r>
      <w:r>
        <w:rPr>
          <w:rFonts w:ascii="Verdana" w:cs="Verdana" w:eastAsia="Verdana" w:hAnsi="Verdana"/>
          <w:sz w:val="20"/>
          <w:szCs w:val="20"/>
          <w:color w:val="auto"/>
        </w:rPr>
        <w:t xml:space="preserve"> è da sottrarre alla quota parte del fondo regionale destinato alla retribuzione di risultato.</w:t>
      </w:r>
    </w:p>
    <w:p>
      <w:pPr>
        <w:spacing w:after="0" w:line="200" w:lineRule="exact"/>
        <w:rPr>
          <w:sz w:val="20"/>
          <w:szCs w:val="20"/>
          <w:color w:val="auto"/>
        </w:rPr>
      </w:pPr>
    </w:p>
    <w:p>
      <w:pPr>
        <w:spacing w:after="0" w:line="223" w:lineRule="exact"/>
        <w:rPr>
          <w:sz w:val="20"/>
          <w:szCs w:val="20"/>
          <w:color w:val="auto"/>
        </w:rPr>
      </w:pPr>
    </w:p>
    <w:p>
      <w:pPr>
        <w:ind w:left="1340"/>
        <w:spacing w:after="0"/>
        <w:rPr>
          <w:sz w:val="20"/>
          <w:szCs w:val="20"/>
          <w:color w:val="auto"/>
        </w:rPr>
      </w:pPr>
      <w:r>
        <w:rPr>
          <w:rFonts w:ascii="Verdana" w:cs="Verdana" w:eastAsia="Verdana" w:hAnsi="Verdana"/>
          <w:sz w:val="20"/>
          <w:szCs w:val="20"/>
          <w:b w:val="1"/>
          <w:bCs w:val="1"/>
          <w:color w:val="auto"/>
        </w:rPr>
        <w:t>Art. 5 - Retribuzione di risultato anno scolastico 2015/2016</w:t>
      </w:r>
    </w:p>
    <w:p>
      <w:pPr>
        <w:spacing w:after="0" w:line="248" w:lineRule="exact"/>
        <w:rPr>
          <w:sz w:val="20"/>
          <w:szCs w:val="20"/>
          <w:color w:val="auto"/>
        </w:rPr>
      </w:pPr>
    </w:p>
    <w:p>
      <w:pPr>
        <w:jc w:val="both"/>
        <w:ind w:firstLine="716"/>
        <w:spacing w:after="0" w:line="265" w:lineRule="auto"/>
        <w:tabs>
          <w:tab w:leader="none" w:pos="989" w:val="left"/>
        </w:tabs>
        <w:numPr>
          <w:ilvl w:val="0"/>
          <w:numId w:val="5"/>
        </w:numPr>
        <w:rPr>
          <w:rFonts w:ascii="Verdana" w:cs="Verdana" w:eastAsia="Verdana" w:hAnsi="Verdana"/>
          <w:sz w:val="20"/>
          <w:szCs w:val="20"/>
          <w:color w:val="auto"/>
        </w:rPr>
      </w:pPr>
      <w:r>
        <w:rPr>
          <w:rFonts w:ascii="Verdana" w:cs="Verdana" w:eastAsia="Verdana" w:hAnsi="Verdana"/>
          <w:sz w:val="20"/>
          <w:szCs w:val="20"/>
          <w:color w:val="auto"/>
        </w:rPr>
        <w:t xml:space="preserve">Le risorse disponibili per la retribuzione di risultato definite in ragione del 15% del fondo regionale sono pari a </w:t>
      </w:r>
      <w:r>
        <w:rPr>
          <w:rFonts w:ascii="Verdana" w:cs="Verdana" w:eastAsia="Verdana" w:hAnsi="Verdana"/>
          <w:sz w:val="20"/>
          <w:szCs w:val="20"/>
          <w:b w:val="1"/>
          <w:bCs w:val="1"/>
          <w:color w:val="auto"/>
        </w:rPr>
        <w:t>€</w:t>
      </w:r>
      <w:r>
        <w:rPr>
          <w:rFonts w:ascii="Verdana" w:cs="Verdana" w:eastAsia="Verdana" w:hAnsi="Verdana"/>
          <w:sz w:val="20"/>
          <w:szCs w:val="20"/>
          <w:color w:val="auto"/>
        </w:rPr>
        <w:t>.</w:t>
      </w:r>
      <w:r>
        <w:rPr>
          <w:rFonts w:ascii="Verdana" w:cs="Verdana" w:eastAsia="Verdana" w:hAnsi="Verdana"/>
          <w:sz w:val="20"/>
          <w:szCs w:val="20"/>
          <w:b w:val="1"/>
          <w:bCs w:val="1"/>
          <w:color w:val="auto"/>
        </w:rPr>
        <w:t>387.296,25.</w:t>
      </w:r>
    </w:p>
    <w:p>
      <w:pPr>
        <w:spacing w:after="0" w:line="192" w:lineRule="exact"/>
        <w:rPr>
          <w:rFonts w:ascii="Verdana" w:cs="Verdana" w:eastAsia="Verdana" w:hAnsi="Verdana"/>
          <w:sz w:val="20"/>
          <w:szCs w:val="20"/>
          <w:color w:val="auto"/>
        </w:rPr>
      </w:pPr>
    </w:p>
    <w:p>
      <w:pPr>
        <w:jc w:val="both"/>
        <w:ind w:firstLine="716"/>
        <w:spacing w:after="0" w:line="265" w:lineRule="auto"/>
        <w:tabs>
          <w:tab w:leader="none" w:pos="994" w:val="left"/>
        </w:tabs>
        <w:numPr>
          <w:ilvl w:val="0"/>
          <w:numId w:val="5"/>
        </w:numPr>
        <w:rPr>
          <w:rFonts w:ascii="Verdana" w:cs="Verdana" w:eastAsia="Verdana" w:hAnsi="Verdana"/>
          <w:sz w:val="20"/>
          <w:szCs w:val="20"/>
          <w:color w:val="auto"/>
        </w:rPr>
      </w:pPr>
      <w:r>
        <w:rPr>
          <w:rFonts w:ascii="Verdana" w:cs="Verdana" w:eastAsia="Verdana" w:hAnsi="Verdana"/>
          <w:sz w:val="20"/>
          <w:szCs w:val="20"/>
          <w:color w:val="auto"/>
        </w:rPr>
        <w:t xml:space="preserve">Le risorse disponibili a seguito dell’applicazione dell’art. 3, comma 4, del presente provvedimento, ammontano a </w:t>
      </w:r>
      <w:r>
        <w:rPr>
          <w:rFonts w:ascii="Verdana" w:cs="Verdana" w:eastAsia="Verdana" w:hAnsi="Verdana"/>
          <w:sz w:val="20"/>
          <w:szCs w:val="20"/>
          <w:b w:val="1"/>
          <w:bCs w:val="1"/>
          <w:color w:val="auto"/>
        </w:rPr>
        <w:t>€ 0</w:t>
      </w:r>
      <w:r>
        <w:rPr>
          <w:rFonts w:ascii="Verdana" w:cs="Verdana" w:eastAsia="Verdana" w:hAnsi="Verdana"/>
          <w:sz w:val="20"/>
          <w:szCs w:val="20"/>
          <w:color w:val="auto"/>
        </w:rPr>
        <w:t>.</w:t>
      </w:r>
    </w:p>
    <w:p>
      <w:pPr>
        <w:spacing w:after="0" w:line="192" w:lineRule="exact"/>
        <w:rPr>
          <w:rFonts w:ascii="Verdana" w:cs="Verdana" w:eastAsia="Verdana" w:hAnsi="Verdana"/>
          <w:sz w:val="20"/>
          <w:szCs w:val="20"/>
          <w:color w:val="auto"/>
        </w:rPr>
      </w:pPr>
    </w:p>
    <w:p>
      <w:pPr>
        <w:jc w:val="both"/>
        <w:ind w:firstLine="716"/>
        <w:spacing w:after="0" w:line="252" w:lineRule="auto"/>
        <w:tabs>
          <w:tab w:leader="none" w:pos="1054" w:val="left"/>
        </w:tabs>
        <w:numPr>
          <w:ilvl w:val="0"/>
          <w:numId w:val="5"/>
        </w:numPr>
        <w:rPr>
          <w:rFonts w:ascii="Verdana" w:cs="Verdana" w:eastAsia="Verdana" w:hAnsi="Verdana"/>
          <w:sz w:val="20"/>
          <w:szCs w:val="20"/>
          <w:color w:val="auto"/>
        </w:rPr>
      </w:pPr>
      <w:r>
        <w:rPr>
          <w:rFonts w:ascii="Verdana" w:cs="Verdana" w:eastAsia="Verdana" w:hAnsi="Verdana"/>
          <w:sz w:val="20"/>
          <w:szCs w:val="20"/>
          <w:color w:val="auto"/>
        </w:rPr>
        <w:t xml:space="preserve">Dal budget, così quantificato, va detratto l’importo relativo alle indennità di reggenza per l’a.s. 2013-14, pari ad </w:t>
      </w:r>
      <w:r>
        <w:rPr>
          <w:rFonts w:ascii="Verdana" w:cs="Verdana" w:eastAsia="Verdana" w:hAnsi="Verdana"/>
          <w:sz w:val="20"/>
          <w:szCs w:val="20"/>
          <w:b w:val="1"/>
          <w:bCs w:val="1"/>
          <w:color w:val="auto"/>
        </w:rPr>
        <w:t>€ 127.702,02;</w:t>
      </w:r>
      <w:r>
        <w:rPr>
          <w:rFonts w:ascii="Verdana" w:cs="Verdana" w:eastAsia="Verdana" w:hAnsi="Verdana"/>
          <w:sz w:val="20"/>
          <w:szCs w:val="20"/>
          <w:color w:val="auto"/>
        </w:rPr>
        <w:t xml:space="preserve"> pertanto le risorse disponibili per la retribuzione di risultato ammontano ad </w:t>
      </w:r>
      <w:r>
        <w:rPr>
          <w:rFonts w:ascii="Verdana" w:cs="Verdana" w:eastAsia="Verdana" w:hAnsi="Verdana"/>
          <w:sz w:val="20"/>
          <w:szCs w:val="20"/>
          <w:b w:val="1"/>
          <w:bCs w:val="1"/>
          <w:color w:val="auto"/>
        </w:rPr>
        <w:t>€ 259.594,23.</w:t>
      </w:r>
    </w:p>
    <w:p>
      <w:pPr>
        <w:spacing w:after="0" w:line="202" w:lineRule="exact"/>
        <w:rPr>
          <w:rFonts w:ascii="Verdana" w:cs="Verdana" w:eastAsia="Verdana" w:hAnsi="Verdana"/>
          <w:sz w:val="20"/>
          <w:szCs w:val="20"/>
          <w:color w:val="auto"/>
        </w:rPr>
      </w:pPr>
    </w:p>
    <w:p>
      <w:pPr>
        <w:jc w:val="both"/>
        <w:ind w:firstLine="716"/>
        <w:spacing w:after="0" w:line="254" w:lineRule="auto"/>
        <w:tabs>
          <w:tab w:leader="none" w:pos="1075" w:val="left"/>
        </w:tabs>
        <w:numPr>
          <w:ilvl w:val="0"/>
          <w:numId w:val="5"/>
        </w:numPr>
        <w:rPr>
          <w:rFonts w:ascii="Verdana" w:cs="Verdana" w:eastAsia="Verdana" w:hAnsi="Verdana"/>
          <w:sz w:val="20"/>
          <w:szCs w:val="20"/>
          <w:color w:val="auto"/>
        </w:rPr>
      </w:pPr>
      <w:r>
        <w:rPr>
          <w:rFonts w:ascii="Verdana" w:cs="Verdana" w:eastAsia="Verdana" w:hAnsi="Verdana"/>
          <w:sz w:val="20"/>
          <w:szCs w:val="20"/>
          <w:color w:val="auto"/>
        </w:rPr>
        <w:t xml:space="preserve">Le risorse del fondo regionale 2015-16 sono integrate da </w:t>
      </w:r>
      <w:r>
        <w:rPr>
          <w:rFonts w:ascii="Verdana" w:cs="Verdana" w:eastAsia="Verdana" w:hAnsi="Verdana"/>
          <w:sz w:val="20"/>
          <w:szCs w:val="20"/>
          <w:b w:val="1"/>
          <w:bCs w:val="1"/>
          <w:color w:val="auto"/>
        </w:rPr>
        <w:t>€ 640.237,83</w:t>
      </w:r>
      <w:r>
        <w:rPr>
          <w:rFonts w:ascii="Verdana" w:cs="Verdana" w:eastAsia="Verdana" w:hAnsi="Verdana"/>
          <w:sz w:val="20"/>
          <w:szCs w:val="20"/>
          <w:color w:val="auto"/>
        </w:rPr>
        <w:t>, finalizzate alla sola retribuzione di risultato come quantificato nel DDG AOODGRUF prot.n.194 del 08/03/2016</w:t>
      </w:r>
    </w:p>
    <w:p>
      <w:pPr>
        <w:spacing w:after="0" w:line="204" w:lineRule="exact"/>
        <w:rPr>
          <w:rFonts w:ascii="Verdana" w:cs="Verdana" w:eastAsia="Verdana" w:hAnsi="Verdana"/>
          <w:sz w:val="20"/>
          <w:szCs w:val="20"/>
          <w:color w:val="auto"/>
        </w:rPr>
      </w:pPr>
    </w:p>
    <w:p>
      <w:pPr>
        <w:jc w:val="both"/>
        <w:ind w:firstLine="716"/>
        <w:spacing w:after="0" w:line="252" w:lineRule="auto"/>
        <w:tabs>
          <w:tab w:leader="none" w:pos="991" w:val="left"/>
        </w:tabs>
        <w:numPr>
          <w:ilvl w:val="0"/>
          <w:numId w:val="5"/>
        </w:numPr>
        <w:rPr>
          <w:rFonts w:ascii="Verdana" w:cs="Verdana" w:eastAsia="Verdana" w:hAnsi="Verdana"/>
          <w:sz w:val="20"/>
          <w:szCs w:val="20"/>
          <w:color w:val="auto"/>
        </w:rPr>
      </w:pPr>
      <w:r>
        <w:rPr>
          <w:rFonts w:ascii="Verdana" w:cs="Verdana" w:eastAsia="Verdana" w:hAnsi="Verdana"/>
          <w:sz w:val="20"/>
          <w:szCs w:val="20"/>
          <w:color w:val="auto"/>
        </w:rPr>
        <w:t xml:space="preserve">Il budget effettivamente disponibile per l’attribuzione della retribuzione di risultato ai dirigenti in servizio nella regione Abruzzo per l’anno scolastico 2015-16 ammonta, pertanto, ad </w:t>
      </w:r>
      <w:r>
        <w:rPr>
          <w:rFonts w:ascii="Verdana" w:cs="Verdana" w:eastAsia="Verdana" w:hAnsi="Verdana"/>
          <w:sz w:val="20"/>
          <w:szCs w:val="20"/>
          <w:b w:val="1"/>
          <w:bCs w:val="1"/>
          <w:color w:val="auto"/>
        </w:rPr>
        <w:t>€</w:t>
      </w:r>
      <w:r>
        <w:rPr>
          <w:rFonts w:ascii="Verdana" w:cs="Verdana" w:eastAsia="Verdana" w:hAnsi="Verdana"/>
          <w:sz w:val="20"/>
          <w:szCs w:val="20"/>
          <w:color w:val="auto"/>
        </w:rPr>
        <w:t xml:space="preserve">. </w:t>
      </w:r>
      <w:r>
        <w:rPr>
          <w:rFonts w:ascii="Verdana" w:cs="Verdana" w:eastAsia="Verdana" w:hAnsi="Verdana"/>
          <w:sz w:val="20"/>
          <w:szCs w:val="20"/>
          <w:b w:val="1"/>
          <w:bCs w:val="1"/>
          <w:color w:val="auto"/>
        </w:rPr>
        <w:t>899.832,06.</w:t>
      </w:r>
    </w:p>
    <w:p>
      <w:pPr>
        <w:spacing w:after="0" w:line="206" w:lineRule="exact"/>
        <w:rPr>
          <w:rFonts w:ascii="Verdana" w:cs="Verdana" w:eastAsia="Verdana" w:hAnsi="Verdana"/>
          <w:sz w:val="20"/>
          <w:szCs w:val="20"/>
          <w:color w:val="auto"/>
        </w:rPr>
      </w:pPr>
    </w:p>
    <w:p>
      <w:pPr>
        <w:jc w:val="both"/>
        <w:ind w:firstLine="716"/>
        <w:spacing w:after="0" w:line="265" w:lineRule="auto"/>
        <w:tabs>
          <w:tab w:leader="none" w:pos="1042" w:val="left"/>
        </w:tabs>
        <w:numPr>
          <w:ilvl w:val="0"/>
          <w:numId w:val="5"/>
        </w:numPr>
        <w:rPr>
          <w:rFonts w:ascii="Verdana" w:cs="Verdana" w:eastAsia="Verdana" w:hAnsi="Verdana"/>
          <w:sz w:val="20"/>
          <w:szCs w:val="20"/>
          <w:color w:val="auto"/>
        </w:rPr>
      </w:pPr>
      <w:r>
        <w:rPr>
          <w:rFonts w:ascii="Verdana" w:cs="Verdana" w:eastAsia="Verdana" w:hAnsi="Verdana"/>
          <w:sz w:val="20"/>
          <w:szCs w:val="20"/>
          <w:color w:val="auto"/>
        </w:rPr>
        <w:t>Nelle more dell’adozione del Sistema di valutazione dei dirigenti scolastici, la misura della retribuzione di risultato viene definita in relazione alla fascia di complessità</w:t>
      </w:r>
    </w:p>
    <w:p>
      <w:pPr>
        <w:spacing w:after="0" w:line="200" w:lineRule="exact"/>
        <w:rPr>
          <w:sz w:val="20"/>
          <w:szCs w:val="20"/>
          <w:color w:val="auto"/>
        </w:rPr>
      </w:pPr>
    </w:p>
    <w:p>
      <w:pPr>
        <w:spacing w:after="0" w:line="395" w:lineRule="exact"/>
        <w:rPr>
          <w:sz w:val="20"/>
          <w:szCs w:val="20"/>
          <w:color w:val="auto"/>
        </w:rPr>
      </w:pPr>
    </w:p>
    <w:p>
      <w:pPr>
        <w:ind w:left="2240" w:right="1600" w:hanging="628"/>
        <w:spacing w:after="0" w:line="279" w:lineRule="auto"/>
        <w:rPr>
          <w:rFonts w:ascii="Arial" w:cs="Arial" w:eastAsia="Arial" w:hAnsi="Arial"/>
          <w:sz w:val="16"/>
          <w:szCs w:val="16"/>
          <w:color w:val="auto"/>
        </w:rPr>
      </w:pPr>
      <w:r>
        <w:rPr>
          <w:rFonts w:ascii="Arial" w:cs="Arial" w:eastAsia="Arial" w:hAnsi="Arial"/>
          <w:sz w:val="16"/>
          <w:szCs w:val="16"/>
          <w:color w:val="auto"/>
        </w:rPr>
        <w:t xml:space="preserve">Via Ulisse Nurzia – Loc. Boschetto di Pile – L’Aquila Tel: 0862. 5741 Fax: 0862.574231 e-mail: </w:t>
      </w:r>
      <w:hyperlink r:id="rId9">
        <w:r>
          <w:rPr>
            <w:rFonts w:ascii="Arial" w:cs="Arial" w:eastAsia="Arial" w:hAnsi="Arial"/>
            <w:sz w:val="16"/>
            <w:szCs w:val="16"/>
            <w:u w:val="single" w:color="auto"/>
            <w:color w:val="0000FF"/>
          </w:rPr>
          <w:t>direzione-abruzzo@istruzione.it</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 xml:space="preserve">sito: </w:t>
      </w:r>
      <w:hyperlink r:id="rId10">
        <w:r>
          <w:rPr>
            <w:rFonts w:ascii="Arial" w:cs="Arial" w:eastAsia="Arial" w:hAnsi="Arial"/>
            <w:sz w:val="16"/>
            <w:szCs w:val="16"/>
            <w:u w:val="single" w:color="auto"/>
            <w:color w:val="0000FF"/>
          </w:rPr>
          <w:t>www.abruzzo.istruzione.it</w:t>
        </w:r>
      </w:hyperlink>
    </w:p>
    <w:p>
      <w:pPr>
        <w:sectPr>
          <w:pgSz w:w="11900" w:h="16838" w:orient="portrait"/>
          <w:cols w:equalWidth="0" w:num="1">
            <w:col w:w="9420"/>
          </w:cols>
          <w:pgMar w:left="1240" w:top="1440" w:right="1240" w:bottom="415" w:gutter="0" w:footer="0" w:header="0"/>
        </w:sectPr>
      </w:pPr>
    </w:p>
    <w:bookmarkStart w:id="4" w:name="page5"/>
    <w:bookmarkEnd w:id="4"/>
    <w:p>
      <w:pPr>
        <w:spacing w:after="0" w:line="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3484880</wp:posOffset>
            </wp:positionH>
            <wp:positionV relativeFrom="page">
              <wp:posOffset>233680</wp:posOffset>
            </wp:positionV>
            <wp:extent cx="581025" cy="6762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ind w:left="300"/>
        <w:spacing w:after="0"/>
        <w:rPr>
          <w:sz w:val="20"/>
          <w:szCs w:val="20"/>
          <w:color w:val="auto"/>
        </w:rPr>
      </w:pPr>
      <w:r>
        <w:rPr>
          <w:rFonts w:ascii="Times New Roman" w:cs="Times New Roman" w:eastAsia="Times New Roman" w:hAnsi="Times New Roman"/>
          <w:sz w:val="40"/>
          <w:szCs w:val="40"/>
          <w:color w:val="auto"/>
        </w:rPr>
        <w:t>Ministero dell’Istruzione, dell’Università e della Ricerca</w:t>
      </w:r>
    </w:p>
    <w:p>
      <w:pPr>
        <w:spacing w:after="0" w:line="157" w:lineRule="exact"/>
        <w:rPr>
          <w:sz w:val="20"/>
          <w:szCs w:val="20"/>
          <w:color w:val="auto"/>
        </w:rPr>
      </w:pPr>
    </w:p>
    <w:p>
      <w:pPr>
        <w:ind w:left="1660"/>
        <w:spacing w:after="0"/>
        <w:rPr>
          <w:sz w:val="20"/>
          <w:szCs w:val="20"/>
          <w:color w:val="auto"/>
        </w:rPr>
      </w:pPr>
      <w:r>
        <w:rPr>
          <w:rFonts w:ascii="Times New Roman" w:cs="Times New Roman" w:eastAsia="Times New Roman" w:hAnsi="Times New Roman"/>
          <w:sz w:val="44"/>
          <w:szCs w:val="44"/>
          <w:color w:val="auto"/>
        </w:rPr>
        <w:t>Ufficio Scolastico Regionale per l’Abruzzo</w:t>
      </w:r>
    </w:p>
    <w:p>
      <w:pPr>
        <w:spacing w:after="0" w:line="56" w:lineRule="exact"/>
        <w:rPr>
          <w:sz w:val="20"/>
          <w:szCs w:val="20"/>
          <w:color w:val="auto"/>
        </w:rPr>
      </w:pPr>
    </w:p>
    <w:p>
      <w:pPr>
        <w:ind w:left="274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324" w:lineRule="exact"/>
        <w:rPr>
          <w:sz w:val="20"/>
          <w:szCs w:val="20"/>
          <w:color w:val="auto"/>
        </w:rPr>
      </w:pPr>
    </w:p>
    <w:p>
      <w:pPr>
        <w:jc w:val="both"/>
        <w:spacing w:after="0" w:line="246" w:lineRule="auto"/>
        <w:rPr>
          <w:sz w:val="20"/>
          <w:szCs w:val="20"/>
          <w:color w:val="auto"/>
        </w:rPr>
      </w:pPr>
      <w:r>
        <w:rPr>
          <w:rFonts w:ascii="Verdana" w:cs="Verdana" w:eastAsia="Verdana" w:hAnsi="Verdana"/>
          <w:sz w:val="20"/>
          <w:szCs w:val="20"/>
          <w:color w:val="auto"/>
        </w:rPr>
        <w:t xml:space="preserve">dell’istituzione scolastica di servizio, correlata al grado di responsabilità connessa all’incarico. Il valore annuo lordo riferito all’anno scolastico </w:t>
      </w:r>
      <w:r>
        <w:rPr>
          <w:rFonts w:ascii="Verdana" w:cs="Verdana" w:eastAsia="Verdana" w:hAnsi="Verdana"/>
          <w:sz w:val="20"/>
          <w:szCs w:val="20"/>
          <w:b w:val="1"/>
          <w:bCs w:val="1"/>
          <w:color w:val="auto"/>
        </w:rPr>
        <w:t>2015/2016</w:t>
      </w:r>
      <w:r>
        <w:rPr>
          <w:rFonts w:ascii="Verdana" w:cs="Verdana" w:eastAsia="Verdana" w:hAnsi="Verdana"/>
          <w:sz w:val="20"/>
          <w:szCs w:val="20"/>
          <w:color w:val="auto"/>
        </w:rPr>
        <w:t xml:space="preserve"> , determinato in relazione a n.183 dirigenti in servizio (n. 176 unità in servizio per l’intero anno scolastico, n.3 dirigenti con congedo al 30% e n. 4 dirigenti cessati nel corso dell’anno scolastico) ed ai valori delle fasce di posizione, è il seguente:</w:t>
      </w:r>
    </w:p>
    <w:p>
      <w:pPr>
        <w:spacing w:after="0" w:line="201" w:lineRule="exact"/>
        <w:rPr>
          <w:sz w:val="20"/>
          <w:szCs w:val="20"/>
          <w:color w:val="auto"/>
        </w:rPr>
      </w:pPr>
    </w:p>
    <w:tbl>
      <w:tblPr>
        <w:tblLayout w:type="fixed"/>
        <w:tblInd w:w="810" w:type="dxa"/>
        <w:tblCellMar>
          <w:top w:w="0" w:type="dxa"/>
          <w:left w:w="0" w:type="dxa"/>
          <w:bottom w:w="0" w:type="dxa"/>
          <w:right w:w="0" w:type="dxa"/>
        </w:tblCellMar>
      </w:tblPr>
      <w:tr>
        <w:trPr>
          <w:trHeight w:val="300"/>
        </w:trPr>
        <w:tc>
          <w:tcPr>
            <w:tcW w:w="3540" w:type="dxa"/>
            <w:vAlign w:val="bottom"/>
            <w:tcBorders>
              <w:top w:val="single" w:sz="8" w:color="auto"/>
              <w:left w:val="single" w:sz="8" w:color="auto"/>
              <w:bottom w:val="single" w:sz="8" w:color="E6E6E6"/>
              <w:right w:val="single" w:sz="8" w:color="auto"/>
            </w:tcBorders>
            <w:shd w:val="clear" w:color="auto" w:fill="E6E6E6"/>
          </w:tcPr>
          <w:p>
            <w:pPr>
              <w:ind w:left="120"/>
              <w:spacing w:after="0" w:line="242" w:lineRule="exact"/>
              <w:rPr>
                <w:sz w:val="20"/>
                <w:szCs w:val="20"/>
                <w:color w:val="auto"/>
              </w:rPr>
            </w:pPr>
            <w:r>
              <w:rPr>
                <w:rFonts w:ascii="Verdana" w:cs="Verdana" w:eastAsia="Verdana" w:hAnsi="Verdana"/>
                <w:sz w:val="20"/>
                <w:szCs w:val="20"/>
                <w:b w:val="1"/>
                <w:bCs w:val="1"/>
                <w:color w:val="auto"/>
              </w:rPr>
              <w:t>Fasce</w:t>
            </w:r>
          </w:p>
        </w:tc>
        <w:tc>
          <w:tcPr>
            <w:tcW w:w="4500" w:type="dxa"/>
            <w:vAlign w:val="bottom"/>
            <w:tcBorders>
              <w:top w:val="single" w:sz="8" w:color="auto"/>
              <w:bottom w:val="single" w:sz="8" w:color="E6E6E6"/>
              <w:right w:val="single" w:sz="8" w:color="auto"/>
            </w:tcBorders>
            <w:shd w:val="clear" w:color="auto" w:fill="E6E6E6"/>
          </w:tcPr>
          <w:p>
            <w:pPr>
              <w:ind w:left="100"/>
              <w:spacing w:after="0" w:line="242" w:lineRule="exact"/>
              <w:rPr>
                <w:sz w:val="20"/>
                <w:szCs w:val="20"/>
                <w:color w:val="auto"/>
              </w:rPr>
            </w:pPr>
            <w:r>
              <w:rPr>
                <w:rFonts w:ascii="Verdana" w:cs="Verdana" w:eastAsia="Verdana" w:hAnsi="Verdana"/>
                <w:sz w:val="20"/>
                <w:szCs w:val="20"/>
                <w:b w:val="1"/>
                <w:bCs w:val="1"/>
                <w:color w:val="auto"/>
              </w:rPr>
              <w:t>Importo annuo lordo 2015-2016</w:t>
            </w:r>
          </w:p>
        </w:tc>
      </w:tr>
      <w:tr>
        <w:trPr>
          <w:trHeight w:val="279"/>
        </w:trPr>
        <w:tc>
          <w:tcPr>
            <w:tcW w:w="3540" w:type="dxa"/>
            <w:vAlign w:val="bottom"/>
            <w:tcBorders>
              <w:top w:val="single" w:sz="8" w:color="auto"/>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1^ Fascia</w:t>
            </w:r>
          </w:p>
        </w:tc>
        <w:tc>
          <w:tcPr>
            <w:tcW w:w="4500" w:type="dxa"/>
            <w:vAlign w:val="bottom"/>
            <w:tcBorders>
              <w:top w:val="single" w:sz="8" w:color="auto"/>
              <w:bottom w:val="single" w:sz="8" w:color="auto"/>
              <w:right w:val="single" w:sz="8" w:color="auto"/>
            </w:tcBorders>
          </w:tcPr>
          <w:p>
            <w:pPr>
              <w:ind w:left="1640"/>
              <w:spacing w:after="0"/>
              <w:rPr>
                <w:sz w:val="20"/>
                <w:szCs w:val="20"/>
                <w:color w:val="auto"/>
              </w:rPr>
            </w:pPr>
            <w:r>
              <w:rPr>
                <w:rFonts w:ascii="Verdana" w:cs="Verdana" w:eastAsia="Verdana" w:hAnsi="Verdana"/>
                <w:sz w:val="20"/>
                <w:szCs w:val="20"/>
                <w:b w:val="1"/>
                <w:bCs w:val="1"/>
                <w:color w:val="auto"/>
              </w:rPr>
              <w:t>€ 6.142,04</w:t>
            </w:r>
          </w:p>
        </w:tc>
      </w:tr>
      <w:tr>
        <w:trPr>
          <w:trHeight w:val="278"/>
        </w:trPr>
        <w:tc>
          <w:tcPr>
            <w:tcW w:w="3540" w:type="dxa"/>
            <w:vAlign w:val="bottom"/>
            <w:tcBorders>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2^ Fascia</w:t>
            </w:r>
          </w:p>
        </w:tc>
        <w:tc>
          <w:tcPr>
            <w:tcW w:w="4500" w:type="dxa"/>
            <w:vAlign w:val="bottom"/>
            <w:tcBorders>
              <w:bottom w:val="single" w:sz="8" w:color="auto"/>
              <w:right w:val="single" w:sz="8" w:color="auto"/>
            </w:tcBorders>
          </w:tcPr>
          <w:p>
            <w:pPr>
              <w:ind w:left="1640"/>
              <w:spacing w:after="0"/>
              <w:rPr>
                <w:sz w:val="20"/>
                <w:szCs w:val="20"/>
                <w:color w:val="auto"/>
              </w:rPr>
            </w:pPr>
            <w:r>
              <w:rPr>
                <w:rFonts w:ascii="Verdana" w:cs="Verdana" w:eastAsia="Verdana" w:hAnsi="Verdana"/>
                <w:sz w:val="20"/>
                <w:szCs w:val="20"/>
                <w:b w:val="1"/>
                <w:bCs w:val="1"/>
                <w:color w:val="auto"/>
              </w:rPr>
              <w:t>€ 4.722,11</w:t>
            </w:r>
          </w:p>
        </w:tc>
      </w:tr>
      <w:tr>
        <w:trPr>
          <w:trHeight w:val="278"/>
        </w:trPr>
        <w:tc>
          <w:tcPr>
            <w:tcW w:w="3540" w:type="dxa"/>
            <w:vAlign w:val="bottom"/>
            <w:tcBorders>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3^ Fascia</w:t>
            </w:r>
          </w:p>
        </w:tc>
        <w:tc>
          <w:tcPr>
            <w:tcW w:w="4500" w:type="dxa"/>
            <w:vAlign w:val="bottom"/>
            <w:tcBorders>
              <w:bottom w:val="single" w:sz="8" w:color="auto"/>
              <w:right w:val="single" w:sz="8" w:color="auto"/>
            </w:tcBorders>
          </w:tcPr>
          <w:p>
            <w:pPr>
              <w:ind w:left="1640"/>
              <w:spacing w:after="0"/>
              <w:rPr>
                <w:sz w:val="20"/>
                <w:szCs w:val="20"/>
                <w:color w:val="auto"/>
              </w:rPr>
            </w:pPr>
            <w:r>
              <w:rPr>
                <w:rFonts w:ascii="Verdana" w:cs="Verdana" w:eastAsia="Verdana" w:hAnsi="Verdana"/>
                <w:sz w:val="20"/>
                <w:szCs w:val="20"/>
                <w:b w:val="1"/>
                <w:bCs w:val="1"/>
                <w:color w:val="auto"/>
              </w:rPr>
              <w:t>€ 3.302,17</w:t>
            </w:r>
          </w:p>
        </w:tc>
      </w:tr>
    </w:tbl>
    <w:p>
      <w:pPr>
        <w:spacing w:after="0" w:line="237" w:lineRule="exact"/>
        <w:rPr>
          <w:sz w:val="20"/>
          <w:szCs w:val="20"/>
          <w:color w:val="auto"/>
        </w:rPr>
      </w:pPr>
    </w:p>
    <w:p>
      <w:pPr>
        <w:ind w:left="720"/>
        <w:spacing w:after="0"/>
        <w:rPr>
          <w:sz w:val="20"/>
          <w:szCs w:val="20"/>
          <w:color w:val="auto"/>
        </w:rPr>
      </w:pPr>
      <w:r>
        <w:rPr>
          <w:rFonts w:ascii="Verdana" w:cs="Verdana" w:eastAsia="Verdana" w:hAnsi="Verdana"/>
          <w:sz w:val="20"/>
          <w:szCs w:val="20"/>
          <w:color w:val="auto"/>
        </w:rPr>
        <w:t>7. La retribuzione di risultato è da erogarsi posticipata, in unica soluzione.</w:t>
      </w:r>
    </w:p>
    <w:p>
      <w:pPr>
        <w:spacing w:after="0" w:line="200" w:lineRule="exact"/>
        <w:rPr>
          <w:sz w:val="20"/>
          <w:szCs w:val="20"/>
          <w:color w:val="auto"/>
        </w:rPr>
      </w:pPr>
    </w:p>
    <w:p>
      <w:pPr>
        <w:spacing w:after="0" w:line="280" w:lineRule="exact"/>
        <w:rPr>
          <w:sz w:val="20"/>
          <w:szCs w:val="20"/>
          <w:color w:val="auto"/>
        </w:rPr>
      </w:pPr>
    </w:p>
    <w:p>
      <w:pPr>
        <w:ind w:left="2960"/>
        <w:spacing w:after="0"/>
        <w:rPr>
          <w:sz w:val="20"/>
          <w:szCs w:val="20"/>
          <w:color w:val="auto"/>
        </w:rPr>
      </w:pPr>
      <w:r>
        <w:rPr>
          <w:rFonts w:ascii="Verdana" w:cs="Verdana" w:eastAsia="Verdana" w:hAnsi="Verdana"/>
          <w:sz w:val="20"/>
          <w:szCs w:val="20"/>
          <w:b w:val="1"/>
          <w:bCs w:val="1"/>
          <w:color w:val="auto"/>
        </w:rPr>
        <w:t>Art.6 - Clausola di salvaguardia</w:t>
      </w:r>
    </w:p>
    <w:p>
      <w:pPr>
        <w:spacing w:after="0" w:line="248" w:lineRule="exact"/>
        <w:rPr>
          <w:sz w:val="20"/>
          <w:szCs w:val="20"/>
          <w:color w:val="auto"/>
        </w:rPr>
      </w:pPr>
    </w:p>
    <w:p>
      <w:pPr>
        <w:jc w:val="both"/>
        <w:ind w:firstLine="716"/>
        <w:spacing w:after="0" w:line="265" w:lineRule="auto"/>
        <w:tabs>
          <w:tab w:leader="none" w:pos="1039" w:val="left"/>
        </w:tabs>
        <w:numPr>
          <w:ilvl w:val="0"/>
          <w:numId w:val="6"/>
        </w:numPr>
        <w:rPr>
          <w:rFonts w:ascii="Verdana" w:cs="Verdana" w:eastAsia="Verdana" w:hAnsi="Verdana"/>
          <w:sz w:val="20"/>
          <w:szCs w:val="20"/>
          <w:color w:val="auto"/>
        </w:rPr>
      </w:pPr>
      <w:r>
        <w:rPr>
          <w:rFonts w:ascii="Verdana" w:cs="Verdana" w:eastAsia="Verdana" w:hAnsi="Verdana"/>
          <w:sz w:val="20"/>
          <w:szCs w:val="20"/>
          <w:color w:val="auto"/>
        </w:rPr>
        <w:t>Le risorse destinate al fondo regionale sono integralmente utilizzate nell’anno scolastico di riferimento.</w:t>
      </w:r>
    </w:p>
    <w:p>
      <w:pPr>
        <w:spacing w:after="0" w:line="192" w:lineRule="exact"/>
        <w:rPr>
          <w:rFonts w:ascii="Verdana" w:cs="Verdana" w:eastAsia="Verdana" w:hAnsi="Verdana"/>
          <w:sz w:val="20"/>
          <w:szCs w:val="20"/>
          <w:color w:val="auto"/>
        </w:rPr>
      </w:pPr>
    </w:p>
    <w:p>
      <w:pPr>
        <w:jc w:val="both"/>
        <w:ind w:firstLine="716"/>
        <w:spacing w:after="0" w:line="246" w:lineRule="auto"/>
        <w:tabs>
          <w:tab w:leader="none" w:pos="1068" w:val="left"/>
        </w:tabs>
        <w:numPr>
          <w:ilvl w:val="0"/>
          <w:numId w:val="6"/>
        </w:numPr>
        <w:rPr>
          <w:rFonts w:ascii="Verdana" w:cs="Verdana" w:eastAsia="Verdana" w:hAnsi="Verdana"/>
          <w:sz w:val="20"/>
          <w:szCs w:val="20"/>
          <w:color w:val="auto"/>
        </w:rPr>
      </w:pPr>
      <w:r>
        <w:rPr>
          <w:rFonts w:ascii="Verdana" w:cs="Verdana" w:eastAsia="Verdana" w:hAnsi="Verdana"/>
          <w:sz w:val="20"/>
          <w:szCs w:val="20"/>
          <w:color w:val="auto"/>
        </w:rPr>
        <w:t>I criteri e le modalità di utilizzo del fondo regionale definite dal presente provvedimento si applicano ai dirigenti scolastici in servizio nella regione Abruzzo nell’a.s. 2015/2016 e continuano ad applicarsi - relativamente alla sola retribuzione di posizione parte fissa e variabile - fino alla stipula di successivi accordi, salvo conguagli positivi e/o negativi.</w:t>
      </w:r>
    </w:p>
    <w:p>
      <w:pPr>
        <w:spacing w:after="0" w:line="211" w:lineRule="exact"/>
        <w:rPr>
          <w:sz w:val="20"/>
          <w:szCs w:val="20"/>
          <w:color w:val="auto"/>
        </w:rPr>
      </w:pPr>
    </w:p>
    <w:p>
      <w:pPr>
        <w:ind w:firstLine="708"/>
        <w:spacing w:after="0" w:line="267" w:lineRule="auto"/>
        <w:rPr>
          <w:sz w:val="20"/>
          <w:szCs w:val="20"/>
          <w:color w:val="auto"/>
        </w:rPr>
      </w:pPr>
      <w:r>
        <w:rPr>
          <w:rFonts w:ascii="Verdana" w:cs="Verdana" w:eastAsia="Verdana" w:hAnsi="Verdana"/>
          <w:sz w:val="20"/>
          <w:szCs w:val="20"/>
          <w:color w:val="auto"/>
        </w:rPr>
        <w:t>Avverso il presente Atto - adottato in via definitiva - è ammesso ricorso giurisdizionale nei tempi e nei modi previsti dalla vigente normativa.</w:t>
      </w:r>
    </w:p>
    <w:p>
      <w:pPr>
        <w:spacing w:after="0" w:line="200" w:lineRule="exact"/>
        <w:rPr>
          <w:sz w:val="20"/>
          <w:szCs w:val="20"/>
          <w:color w:val="auto"/>
        </w:rPr>
      </w:pPr>
    </w:p>
    <w:p>
      <w:pPr>
        <w:spacing w:after="0" w:line="233" w:lineRule="exact"/>
        <w:rPr>
          <w:sz w:val="20"/>
          <w:szCs w:val="20"/>
          <w:color w:val="auto"/>
        </w:rPr>
      </w:pPr>
    </w:p>
    <w:p>
      <w:pPr>
        <w:spacing w:after="0" w:line="239" w:lineRule="auto"/>
        <w:rPr>
          <w:sz w:val="20"/>
          <w:szCs w:val="20"/>
          <w:color w:val="auto"/>
        </w:rPr>
      </w:pPr>
      <w:r>
        <w:rPr>
          <w:rFonts w:ascii="Verdana" w:cs="Verdana" w:eastAsia="Verdana" w:hAnsi="Verdana"/>
          <w:sz w:val="20"/>
          <w:szCs w:val="20"/>
          <w:color w:val="auto"/>
        </w:rPr>
        <w:t>L’Aquila, 23 novembre 2016</w:t>
      </w:r>
    </w:p>
    <w:p>
      <w:pPr>
        <w:ind w:left="5680"/>
        <w:spacing w:after="0" w:line="238" w:lineRule="auto"/>
        <w:rPr>
          <w:sz w:val="20"/>
          <w:szCs w:val="20"/>
          <w:color w:val="auto"/>
        </w:rPr>
      </w:pPr>
      <w:r>
        <w:rPr>
          <w:rFonts w:ascii="Verdana" w:cs="Verdana" w:eastAsia="Verdana" w:hAnsi="Verdana"/>
          <w:sz w:val="20"/>
          <w:szCs w:val="20"/>
          <w:color w:val="auto"/>
        </w:rPr>
        <w:t>IL DIRETTORE GENERALE</w:t>
      </w:r>
    </w:p>
    <w:p>
      <w:pPr>
        <w:ind w:left="5960"/>
        <w:spacing w:after="0"/>
        <w:rPr>
          <w:sz w:val="20"/>
          <w:szCs w:val="20"/>
          <w:color w:val="auto"/>
        </w:rPr>
      </w:pPr>
      <w:r>
        <w:rPr>
          <w:rFonts w:ascii="Verdana" w:cs="Verdana" w:eastAsia="Verdana" w:hAnsi="Verdana"/>
          <w:sz w:val="20"/>
          <w:szCs w:val="20"/>
          <w:color w:val="auto"/>
        </w:rPr>
        <w:t>Ernesto PELLECCHIA</w:t>
      </w:r>
    </w:p>
    <w:p>
      <w:pPr>
        <w:spacing w:after="0" w:line="232" w:lineRule="exact"/>
        <w:rPr>
          <w:sz w:val="20"/>
          <w:szCs w:val="20"/>
          <w:color w:val="auto"/>
        </w:rPr>
      </w:pPr>
    </w:p>
    <w:p>
      <w:pPr>
        <w:ind w:left="7080" w:right="1380"/>
        <w:spacing w:after="0" w:line="259" w:lineRule="auto"/>
        <w:rPr>
          <w:sz w:val="20"/>
          <w:szCs w:val="20"/>
          <w:color w:val="auto"/>
        </w:rPr>
      </w:pPr>
      <w:r>
        <w:rPr>
          <w:rFonts w:ascii="Arial" w:cs="Arial" w:eastAsia="Arial" w:hAnsi="Arial"/>
          <w:sz w:val="14"/>
          <w:szCs w:val="14"/>
          <w:color w:val="auto"/>
        </w:rPr>
        <w:t>Firmato digitalmente da Ernesto Pellecchia</w:t>
      </w:r>
    </w:p>
    <w:p>
      <w:pPr>
        <w:spacing w:after="0" w:line="1" w:lineRule="exact"/>
        <w:rPr>
          <w:sz w:val="20"/>
          <w:szCs w:val="20"/>
          <w:color w:val="auto"/>
        </w:rPr>
      </w:pPr>
    </w:p>
    <w:p>
      <w:pPr>
        <w:ind w:left="7080" w:right="1340"/>
        <w:spacing w:after="0" w:line="318" w:lineRule="auto"/>
        <w:rPr>
          <w:sz w:val="20"/>
          <w:szCs w:val="20"/>
          <w:color w:val="auto"/>
        </w:rPr>
      </w:pPr>
      <w:r>
        <w:rPr>
          <w:rFonts w:ascii="Arial" w:cs="Arial" w:eastAsia="Arial" w:hAnsi="Arial"/>
          <w:sz w:val="13"/>
          <w:szCs w:val="13"/>
          <w:color w:val="auto"/>
        </w:rPr>
        <w:t>Data: 2016.11.23 09:18:26 +01'00'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1" w:lineRule="exact"/>
        <w:rPr>
          <w:sz w:val="20"/>
          <w:szCs w:val="20"/>
          <w:color w:val="auto"/>
        </w:rPr>
      </w:pPr>
    </w:p>
    <w:p>
      <w:pPr>
        <w:ind w:left="2240" w:right="1600" w:hanging="628"/>
        <w:spacing w:after="0" w:line="279" w:lineRule="auto"/>
        <w:rPr>
          <w:rFonts w:ascii="Arial" w:cs="Arial" w:eastAsia="Arial" w:hAnsi="Arial"/>
          <w:sz w:val="16"/>
          <w:szCs w:val="16"/>
          <w:color w:val="auto"/>
        </w:rPr>
      </w:pPr>
      <w:r>
        <w:rPr>
          <w:rFonts w:ascii="Arial" w:cs="Arial" w:eastAsia="Arial" w:hAnsi="Arial"/>
          <w:sz w:val="16"/>
          <w:szCs w:val="16"/>
          <w:color w:val="auto"/>
        </w:rPr>
        <w:t xml:space="preserve">Via Ulisse Nurzia – Loc. Boschetto di Pile – L’Aquila Tel: 0862. 5741 Fax: 0862.574231 e-mail: </w:t>
      </w:r>
      <w:hyperlink r:id="rId9">
        <w:r>
          <w:rPr>
            <w:rFonts w:ascii="Arial" w:cs="Arial" w:eastAsia="Arial" w:hAnsi="Arial"/>
            <w:sz w:val="16"/>
            <w:szCs w:val="16"/>
            <w:u w:val="single" w:color="auto"/>
            <w:color w:val="0000FF"/>
          </w:rPr>
          <w:t>direzione-abruzzo@istruzione.it</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 xml:space="preserve">sito: </w:t>
      </w:r>
      <w:hyperlink r:id="rId10">
        <w:r>
          <w:rPr>
            <w:rFonts w:ascii="Arial" w:cs="Arial" w:eastAsia="Arial" w:hAnsi="Arial"/>
            <w:sz w:val="16"/>
            <w:szCs w:val="16"/>
            <w:u w:val="single" w:color="auto"/>
            <w:color w:val="0000FF"/>
          </w:rPr>
          <w:t>www.abruzzo.istruzione.it</w:t>
        </w:r>
      </w:hyperlink>
    </w:p>
    <w:sectPr>
      <w:pgSz w:w="11900" w:h="16838" w:orient="portrait"/>
      <w:cols w:equalWidth="0" w:num="1">
        <w:col w:w="9420"/>
      </w:cols>
      <w:pgMar w:left="1240" w:top="1440" w:right="1240" w:bottom="41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 w:name="Verdana">
    <w:panose1 w:val="020B0604030504040204"/>
    <w:charset w:val="00"/>
    <w:family w:val="swiss"/>
    <w:pitch w:val="variable"/>
    <w:sig w:usb0="A10006FF" w:usb1="4000205B" w:usb2="00000010" w:usb3="00000000" w:csb0="2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lvl w:ilvl="1">
      <w:lvlJc w:val="left"/>
      <w:lvlText w:val=""/>
      <w:numFmt w:val="bullet"/>
      <w:start w:val="1"/>
    </w:lvl>
  </w:abstractNum>
  <w:abstractNum w:abstractNumId="1">
    <w:nsid w:val="625558EC"/>
    <w:multiLevelType w:val="hybridMultilevel"/>
    <w:lvl w:ilvl="0">
      <w:lvlJc w:val="left"/>
      <w:lvlText w:val="%1)"/>
      <w:numFmt w:val="lowerLetter"/>
      <w:start w:val="1"/>
    </w:lvl>
  </w:abstractNum>
  <w:abstractNum w:abstractNumId="2">
    <w:nsid w:val="238E1F29"/>
    <w:multiLevelType w:val="hybridMultilevel"/>
    <w:lvl w:ilvl="0">
      <w:lvlJc w:val="left"/>
      <w:lvlText w:val="%1."/>
      <w:numFmt w:val="decimal"/>
      <w:start w:val="1"/>
    </w:lvl>
  </w:abstractNum>
  <w:abstractNum w:abstractNumId="3">
    <w:nsid w:val="46E87CCD"/>
    <w:multiLevelType w:val="hybridMultilevel"/>
    <w:lvl w:ilvl="0">
      <w:lvlJc w:val="left"/>
      <w:lvlText w:val="%1."/>
      <w:numFmt w:val="decimal"/>
      <w:start w:val="2"/>
    </w:lvl>
  </w:abstractNum>
  <w:abstractNum w:abstractNumId="4">
    <w:nsid w:val="3D1B58BA"/>
    <w:multiLevelType w:val="hybridMultilevel"/>
    <w:lvl w:ilvl="0">
      <w:lvlJc w:val="left"/>
      <w:lvlText w:val="%1."/>
      <w:numFmt w:val="decimal"/>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11" Type="http://schemas.openxmlformats.org/officeDocument/2006/relationships/image" Target="media/image2.jpeg"/><Relationship Id="rId12" Type="http://schemas.openxmlformats.org/officeDocument/2006/relationships/image" Target="media/image3.jpeg"/><Relationship Id="rId13" Type="http://schemas.openxmlformats.org/officeDocument/2006/relationships/image" Target="media/image4.jpeg"/><Relationship Id="rId14" Type="http://schemas.openxmlformats.org/officeDocument/2006/relationships/image" Target="media/image5.jpeg"/><Relationship Id="rId9" Type="http://schemas.openxmlformats.org/officeDocument/2006/relationships/hyperlink" Target="mailto:direzione-abruzzo@istruzione.it" TargetMode="External"/><Relationship Id="rId10" Type="http://schemas.openxmlformats.org/officeDocument/2006/relationships/hyperlink" Target="http://www.abruzzo.istruzione.i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2016-11-23T11:31:34Z</dcterms:created>
  <dcterms:modified xsi:type="dcterms:W3CDTF">2016-11-23T11:31:34Z</dcterms:modified>
</cp:coreProperties>
</file>