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4"/>
          <w:szCs w:val="24"/>
          <w:color w:val="auto"/>
        </w:rPr>
      </w:pPr>
    </w:p>
    <w:p>
      <w:pPr>
        <w:ind w:left="116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4"/>
          <w:szCs w:val="24"/>
          <w:color w:val="auto"/>
        </w:rPr>
      </w:pPr>
    </w:p>
    <w:p>
      <w:pPr>
        <w:ind w:left="244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4"/>
          <w:szCs w:val="24"/>
          <w:color w:val="auto"/>
        </w:rPr>
      </w:pPr>
    </w:p>
    <w:p>
      <w:pPr>
        <w:ind w:left="32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4"/>
          <w:szCs w:val="24"/>
          <w:color w:val="auto"/>
        </w:rPr>
      </w:pPr>
    </w:p>
    <w:p>
      <w:pPr>
        <w:spacing w:after="0" w:line="237" w:lineRule="exact"/>
        <w:rPr>
          <w:sz w:val="24"/>
          <w:szCs w:val="24"/>
          <w:color w:val="auto"/>
        </w:rPr>
      </w:pPr>
    </w:p>
    <w:p>
      <w:pPr>
        <w:ind w:left="3980"/>
        <w:spacing w:after="0"/>
        <w:rPr>
          <w:sz w:val="20"/>
          <w:szCs w:val="20"/>
          <w:color w:val="auto"/>
        </w:rPr>
      </w:pPr>
      <w:r>
        <w:rPr>
          <w:rFonts w:ascii="Calibri" w:cs="Calibri" w:eastAsia="Calibri" w:hAnsi="Calibri"/>
          <w:sz w:val="22"/>
          <w:szCs w:val="22"/>
          <w:b w:val="1"/>
          <w:bCs w:val="1"/>
          <w:color w:val="auto"/>
        </w:rPr>
        <w:t>Relazione illustrativa</w:t>
      </w:r>
    </w:p>
    <w:p>
      <w:pPr>
        <w:spacing w:after="0" w:line="2" w:lineRule="exact"/>
        <w:rPr>
          <w:sz w:val="24"/>
          <w:szCs w:val="24"/>
          <w:color w:val="auto"/>
        </w:rPr>
      </w:pPr>
    </w:p>
    <w:p>
      <w:pPr>
        <w:ind w:left="2040"/>
        <w:spacing w:after="0"/>
        <w:rPr>
          <w:sz w:val="20"/>
          <w:szCs w:val="20"/>
          <w:color w:val="auto"/>
        </w:rPr>
      </w:pPr>
      <w:r>
        <w:rPr>
          <w:rFonts w:ascii="Calibri" w:cs="Calibri" w:eastAsia="Calibri" w:hAnsi="Calibri"/>
          <w:sz w:val="22"/>
          <w:szCs w:val="22"/>
          <w:color w:val="auto"/>
        </w:rPr>
        <w:t>(articolo 40, comma 3-sexies, Decreto Legislativo n. 165 del 2001</w:t>
      </w:r>
    </w:p>
    <w:p>
      <w:pPr>
        <w:spacing w:after="0" w:line="155" w:lineRule="exact"/>
        <w:rPr>
          <w:sz w:val="24"/>
          <w:szCs w:val="24"/>
          <w:color w:val="auto"/>
        </w:rPr>
      </w:pPr>
    </w:p>
    <w:p>
      <w:pPr>
        <w:ind w:left="1960"/>
        <w:spacing w:after="0"/>
        <w:rPr>
          <w:sz w:val="20"/>
          <w:szCs w:val="20"/>
          <w:color w:val="auto"/>
        </w:rPr>
      </w:pPr>
      <w:r>
        <w:rPr>
          <w:rFonts w:ascii="Calibri" w:cs="Calibri" w:eastAsia="Calibri" w:hAnsi="Calibri"/>
          <w:sz w:val="20"/>
          <w:szCs w:val="20"/>
          <w:i w:val="1"/>
          <w:iCs w:val="1"/>
          <w:color w:val="auto"/>
        </w:rPr>
        <w:t>Redatta secondo lo schema allegato alla Circolare MEF-RGS n.25 del 19/07/2012</w:t>
      </w:r>
    </w:p>
    <w:p>
      <w:pPr>
        <w:spacing w:after="0" w:line="123" w:lineRule="exact"/>
        <w:rPr>
          <w:sz w:val="24"/>
          <w:szCs w:val="24"/>
          <w:color w:val="auto"/>
        </w:rPr>
      </w:pPr>
    </w:p>
    <w:p>
      <w:pPr>
        <w:jc w:val="both"/>
        <w:ind w:left="120"/>
        <w:spacing w:after="0" w:line="245" w:lineRule="auto"/>
        <w:rPr>
          <w:sz w:val="20"/>
          <w:szCs w:val="20"/>
          <w:color w:val="auto"/>
        </w:rPr>
      </w:pPr>
      <w:r>
        <w:rPr>
          <w:rFonts w:ascii="Calibri" w:cs="Calibri" w:eastAsia="Calibri" w:hAnsi="Calibri"/>
          <w:sz w:val="22"/>
          <w:szCs w:val="22"/>
          <w:b w:val="1"/>
          <w:bCs w:val="1"/>
          <w:color w:val="auto"/>
        </w:rPr>
        <w:t>Allegata all’Atto Unilaterale in materia di determinazione e utilizzazione del fondo regionale per la retribuzione di posizione e di risultato relative ai dirigenti scolastici in servizio nella regione Abruzzo - anno scolastico 2015-16.</w:t>
      </w:r>
    </w:p>
    <w:p>
      <w:pPr>
        <w:spacing w:after="0" w:line="200" w:lineRule="exact"/>
        <w:rPr>
          <w:sz w:val="24"/>
          <w:szCs w:val="24"/>
          <w:color w:val="auto"/>
        </w:rPr>
      </w:pPr>
    </w:p>
    <w:p>
      <w:pPr>
        <w:spacing w:after="0" w:line="200" w:lineRule="exact"/>
        <w:rPr>
          <w:sz w:val="24"/>
          <w:szCs w:val="24"/>
          <w:color w:val="auto"/>
        </w:rPr>
      </w:pPr>
    </w:p>
    <w:p>
      <w:pPr>
        <w:spacing w:after="0" w:line="216" w:lineRule="exact"/>
        <w:rPr>
          <w:sz w:val="24"/>
          <w:szCs w:val="24"/>
          <w:color w:val="auto"/>
        </w:rPr>
      </w:pPr>
    </w:p>
    <w:p>
      <w:pPr>
        <w:ind w:left="120"/>
        <w:spacing w:after="0"/>
        <w:rPr>
          <w:sz w:val="20"/>
          <w:szCs w:val="20"/>
          <w:color w:val="auto"/>
        </w:rPr>
      </w:pPr>
      <w:r>
        <w:rPr>
          <w:rFonts w:ascii="Calibri" w:cs="Calibri" w:eastAsia="Calibri" w:hAnsi="Calibri"/>
          <w:sz w:val="22"/>
          <w:szCs w:val="22"/>
          <w:b w:val="1"/>
          <w:bCs w:val="1"/>
          <w:i w:val="1"/>
          <w:iCs w:val="1"/>
          <w:color w:val="auto"/>
        </w:rPr>
        <w:t>I.1 - Obiettivi</w:t>
      </w:r>
    </w:p>
    <w:p>
      <w:pPr>
        <w:spacing w:after="0" w:line="391"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53340</wp:posOffset>
                </wp:positionH>
                <wp:positionV relativeFrom="paragraph">
                  <wp:posOffset>17780</wp:posOffset>
                </wp:positionV>
                <wp:extent cx="615696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56960" cy="0"/>
                        </a:xfrm>
                        <a:prstGeom prst="line">
                          <a:avLst/>
                        </a:prstGeom>
                        <a:solidFill>
                          <a:srgbClr val="FFFFFF"/>
                        </a:solidFill>
                        <a:ln w="6108">
                          <a:solidFill>
                            <a:srgbClr val="C0C0C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2pt,1.4pt" to="489pt,1.4pt" o:allowincell="f" strokecolor="#C0C0C0" strokeweight="0.4809pt"/>
            </w:pict>
          </mc:Fallback>
        </mc:AlternateContent>
      </w:r>
    </w:p>
    <w:p>
      <w:pPr>
        <w:ind w:left="4020"/>
        <w:spacing w:after="0"/>
        <w:rPr>
          <w:sz w:val="20"/>
          <w:szCs w:val="20"/>
          <w:color w:val="auto"/>
        </w:rPr>
      </w:pPr>
      <w:r>
        <w:rPr>
          <w:rFonts w:ascii="Calibri" w:cs="Calibri" w:eastAsia="Calibri" w:hAnsi="Calibri"/>
          <w:sz w:val="20"/>
          <w:szCs w:val="20"/>
          <w:b w:val="1"/>
          <w:bCs w:val="1"/>
          <w:i w:val="1"/>
          <w:iCs w:val="1"/>
          <w:color w:val="auto"/>
        </w:rPr>
        <w:t>Modulo 1 - Scheda 1.1</w:t>
      </w:r>
    </w:p>
    <w:p>
      <w:pPr>
        <w:spacing w:after="0" w:line="121" w:lineRule="exact"/>
        <w:rPr>
          <w:sz w:val="24"/>
          <w:szCs w:val="24"/>
          <w:color w:val="auto"/>
        </w:rPr>
      </w:pPr>
    </w:p>
    <w:p>
      <w:pPr>
        <w:ind w:left="3900" w:right="160" w:hanging="3633"/>
        <w:spacing w:after="0" w:line="249" w:lineRule="auto"/>
        <w:rPr>
          <w:sz w:val="20"/>
          <w:szCs w:val="20"/>
          <w:color w:val="auto"/>
        </w:rPr>
      </w:pPr>
      <w:r>
        <w:rPr>
          <w:rFonts w:ascii="Calibri" w:cs="Calibri" w:eastAsia="Calibri" w:hAnsi="Calibri"/>
          <w:sz w:val="20"/>
          <w:szCs w:val="20"/>
          <w:b w:val="1"/>
          <w:bCs w:val="1"/>
          <w:i w:val="1"/>
          <w:iCs w:val="1"/>
          <w:color w:val="auto"/>
        </w:rPr>
        <w:t>Illustrazione degli aspetti procedurali, sintesi del contenuto del provvedimento ed autodichiarazione relative agli adempimenti della legge</w:t>
      </w:r>
    </w:p>
    <w:p>
      <w:pPr>
        <w:spacing w:after="0" w:line="84" w:lineRule="exact"/>
        <w:rPr>
          <w:sz w:val="24"/>
          <w:szCs w:val="24"/>
          <w:color w:val="auto"/>
        </w:rPr>
      </w:pPr>
    </w:p>
    <w:tbl>
      <w:tblPr>
        <w:tblLayout w:type="fixed"/>
        <w:tblInd w:w="10" w:type="dxa"/>
        <w:tblCellMar>
          <w:top w:w="0" w:type="dxa"/>
          <w:left w:w="0" w:type="dxa"/>
          <w:bottom w:w="0" w:type="dxa"/>
          <w:right w:w="0" w:type="dxa"/>
        </w:tblCellMar>
      </w:tblPr>
      <w:tr>
        <w:trPr>
          <w:trHeight w:val="270"/>
        </w:trPr>
        <w:tc>
          <w:tcPr>
            <w:tcW w:w="3380" w:type="dxa"/>
            <w:vAlign w:val="bottom"/>
            <w:tcBorders>
              <w:top w:val="single" w:sz="8" w:color="auto"/>
              <w:left w:val="single" w:sz="8" w:color="auto"/>
              <w:right w:val="single" w:sz="8" w:color="auto"/>
            </w:tcBorders>
            <w:gridSpan w:val="2"/>
          </w:tcPr>
          <w:p>
            <w:pPr>
              <w:ind w:left="120"/>
              <w:spacing w:after="0"/>
              <w:rPr>
                <w:sz w:val="20"/>
                <w:szCs w:val="20"/>
                <w:color w:val="auto"/>
              </w:rPr>
            </w:pPr>
            <w:r>
              <w:rPr>
                <w:rFonts w:ascii="Calibri" w:cs="Calibri" w:eastAsia="Calibri" w:hAnsi="Calibri"/>
                <w:sz w:val="20"/>
                <w:szCs w:val="20"/>
                <w:b w:val="1"/>
                <w:bCs w:val="1"/>
                <w:color w:val="auto"/>
              </w:rPr>
              <w:t>Data di sottoscrizione</w:t>
            </w:r>
          </w:p>
        </w:tc>
        <w:tc>
          <w:tcPr>
            <w:tcW w:w="6240" w:type="dxa"/>
            <w:vAlign w:val="bottom"/>
            <w:tcBorders>
              <w:top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20"/>
                <w:szCs w:val="20"/>
                <w:color w:val="auto"/>
              </w:rPr>
              <w:t>23 novembre 2016</w:t>
            </w:r>
          </w:p>
        </w:tc>
        <w:tc>
          <w:tcPr>
            <w:tcW w:w="0" w:type="dxa"/>
            <w:vAlign w:val="bottom"/>
          </w:tcPr>
          <w:p>
            <w:pPr>
              <w:spacing w:after="0"/>
              <w:rPr>
                <w:sz w:val="1"/>
                <w:szCs w:val="1"/>
                <w:color w:val="auto"/>
              </w:rPr>
            </w:pPr>
          </w:p>
        </w:tc>
      </w:tr>
      <w:tr>
        <w:trPr>
          <w:trHeight w:val="105"/>
        </w:trPr>
        <w:tc>
          <w:tcPr>
            <w:tcW w:w="1440" w:type="dxa"/>
            <w:vAlign w:val="bottom"/>
            <w:tcBorders>
              <w:left w:val="single" w:sz="8" w:color="auto"/>
              <w:bottom w:val="single" w:sz="8" w:color="auto"/>
            </w:tcBorders>
          </w:tcPr>
          <w:p>
            <w:pPr>
              <w:spacing w:after="0"/>
              <w:rPr>
                <w:sz w:val="9"/>
                <w:szCs w:val="9"/>
                <w:color w:val="auto"/>
              </w:rPr>
            </w:pPr>
          </w:p>
        </w:tc>
        <w:tc>
          <w:tcPr>
            <w:tcW w:w="1940" w:type="dxa"/>
            <w:vAlign w:val="bottom"/>
            <w:tcBorders>
              <w:bottom w:val="single" w:sz="8" w:color="auto"/>
              <w:right w:val="single" w:sz="8" w:color="auto"/>
            </w:tcBorders>
          </w:tcPr>
          <w:p>
            <w:pPr>
              <w:spacing w:after="0"/>
              <w:rPr>
                <w:sz w:val="9"/>
                <w:szCs w:val="9"/>
                <w:color w:val="auto"/>
              </w:rPr>
            </w:pPr>
          </w:p>
        </w:tc>
        <w:tc>
          <w:tcPr>
            <w:tcW w:w="624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77"/>
        </w:trPr>
        <w:tc>
          <w:tcPr>
            <w:tcW w:w="3380" w:type="dxa"/>
            <w:vAlign w:val="bottom"/>
            <w:tcBorders>
              <w:left w:val="single" w:sz="8" w:color="auto"/>
              <w:right w:val="single" w:sz="8" w:color="auto"/>
            </w:tcBorders>
            <w:gridSpan w:val="2"/>
          </w:tcPr>
          <w:p>
            <w:pPr>
              <w:ind w:left="120"/>
              <w:spacing w:after="0"/>
              <w:rPr>
                <w:sz w:val="20"/>
                <w:szCs w:val="20"/>
                <w:color w:val="auto"/>
              </w:rPr>
            </w:pPr>
            <w:r>
              <w:rPr>
                <w:rFonts w:ascii="Calibri" w:cs="Calibri" w:eastAsia="Calibri" w:hAnsi="Calibri"/>
                <w:sz w:val="20"/>
                <w:szCs w:val="20"/>
                <w:b w:val="1"/>
                <w:bCs w:val="1"/>
                <w:color w:val="auto"/>
              </w:rPr>
              <w:t>Periodo temporale di vigenza</w:t>
            </w: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Dal 1° settembre 2015 al 31 agosto 2016</w:t>
            </w:r>
          </w:p>
        </w:tc>
        <w:tc>
          <w:tcPr>
            <w:tcW w:w="0" w:type="dxa"/>
            <w:vAlign w:val="bottom"/>
          </w:tcPr>
          <w:p>
            <w:pPr>
              <w:spacing w:after="0"/>
              <w:rPr>
                <w:sz w:val="1"/>
                <w:szCs w:val="1"/>
                <w:color w:val="auto"/>
              </w:rPr>
            </w:pPr>
          </w:p>
        </w:tc>
      </w:tr>
      <w:tr>
        <w:trPr>
          <w:trHeight w:val="87"/>
        </w:trPr>
        <w:tc>
          <w:tcPr>
            <w:tcW w:w="1440" w:type="dxa"/>
            <w:vAlign w:val="bottom"/>
            <w:tcBorders>
              <w:left w:val="single" w:sz="8" w:color="auto"/>
              <w:bottom w:val="single" w:sz="8" w:color="auto"/>
            </w:tcBorders>
          </w:tcPr>
          <w:p>
            <w:pPr>
              <w:spacing w:after="0"/>
              <w:rPr>
                <w:sz w:val="7"/>
                <w:szCs w:val="7"/>
                <w:color w:val="auto"/>
              </w:rPr>
            </w:pPr>
          </w:p>
        </w:tc>
        <w:tc>
          <w:tcPr>
            <w:tcW w:w="1940" w:type="dxa"/>
            <w:vAlign w:val="bottom"/>
            <w:tcBorders>
              <w:bottom w:val="single" w:sz="8" w:color="auto"/>
              <w:right w:val="single" w:sz="8" w:color="auto"/>
            </w:tcBorders>
          </w:tcPr>
          <w:p>
            <w:pPr>
              <w:spacing w:after="0"/>
              <w:rPr>
                <w:sz w:val="7"/>
                <w:szCs w:val="7"/>
                <w:color w:val="auto"/>
              </w:rPr>
            </w:pPr>
          </w:p>
        </w:tc>
        <w:tc>
          <w:tcPr>
            <w:tcW w:w="624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1"/>
        </w:trPr>
        <w:tc>
          <w:tcPr>
            <w:tcW w:w="1440" w:type="dxa"/>
            <w:vAlign w:val="bottom"/>
            <w:tcBorders>
              <w:left w:val="single" w:sz="8" w:color="auto"/>
            </w:tcBorders>
          </w:tcPr>
          <w:p>
            <w:pPr>
              <w:spacing w:after="0"/>
              <w:rPr>
                <w:sz w:val="20"/>
                <w:szCs w:val="20"/>
                <w:color w:val="auto"/>
              </w:rPr>
            </w:pPr>
          </w:p>
        </w:tc>
        <w:tc>
          <w:tcPr>
            <w:tcW w:w="1940" w:type="dxa"/>
            <w:vAlign w:val="bottom"/>
            <w:tcBorders>
              <w:right w:val="single" w:sz="8" w:color="auto"/>
            </w:tcBorders>
          </w:tcPr>
          <w:p>
            <w:pPr>
              <w:spacing w:after="0"/>
              <w:rPr>
                <w:sz w:val="20"/>
                <w:szCs w:val="20"/>
                <w:color w:val="auto"/>
              </w:rPr>
            </w:pPr>
          </w:p>
        </w:tc>
        <w:tc>
          <w:tcPr>
            <w:tcW w:w="6240" w:type="dxa"/>
            <w:vAlign w:val="bottom"/>
            <w:tcBorders>
              <w:right w:val="single" w:sz="8" w:color="auto"/>
            </w:tcBorders>
          </w:tcPr>
          <w:p>
            <w:pPr>
              <w:ind w:left="100"/>
              <w:spacing w:after="0" w:line="241" w:lineRule="exact"/>
              <w:rPr>
                <w:sz w:val="20"/>
                <w:szCs w:val="20"/>
                <w:color w:val="auto"/>
              </w:rPr>
            </w:pPr>
            <w:r>
              <w:rPr>
                <w:rFonts w:ascii="Calibri" w:cs="Calibri" w:eastAsia="Calibri" w:hAnsi="Calibri"/>
                <w:sz w:val="20"/>
                <w:szCs w:val="20"/>
                <w:color w:val="auto"/>
              </w:rPr>
              <w:t>Parte Pubblica (ruoli/qualifiche ricoperti):</w:t>
            </w:r>
          </w:p>
        </w:tc>
        <w:tc>
          <w:tcPr>
            <w:tcW w:w="0" w:type="dxa"/>
            <w:vAlign w:val="bottom"/>
          </w:tcPr>
          <w:p>
            <w:pPr>
              <w:spacing w:after="0"/>
              <w:rPr>
                <w:sz w:val="1"/>
                <w:szCs w:val="1"/>
                <w:color w:val="auto"/>
              </w:rPr>
            </w:pPr>
          </w:p>
        </w:tc>
      </w:tr>
      <w:tr>
        <w:trPr>
          <w:trHeight w:val="378"/>
        </w:trPr>
        <w:tc>
          <w:tcPr>
            <w:tcW w:w="1440" w:type="dxa"/>
            <w:vAlign w:val="bottom"/>
            <w:tcBorders>
              <w:left w:val="single" w:sz="8" w:color="auto"/>
            </w:tcBorders>
          </w:tcPr>
          <w:p>
            <w:pPr>
              <w:spacing w:after="0"/>
              <w:rPr>
                <w:sz w:val="24"/>
                <w:szCs w:val="24"/>
                <w:color w:val="auto"/>
              </w:rPr>
            </w:pPr>
          </w:p>
        </w:tc>
        <w:tc>
          <w:tcPr>
            <w:tcW w:w="1940" w:type="dxa"/>
            <w:vAlign w:val="bottom"/>
            <w:tcBorders>
              <w:right w:val="single" w:sz="8" w:color="auto"/>
            </w:tcBorders>
          </w:tcPr>
          <w:p>
            <w:pPr>
              <w:spacing w:after="0"/>
              <w:rPr>
                <w:sz w:val="24"/>
                <w:szCs w:val="24"/>
                <w:color w:val="auto"/>
              </w:rPr>
            </w:pP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413"/>
        </w:trPr>
        <w:tc>
          <w:tcPr>
            <w:tcW w:w="1440" w:type="dxa"/>
            <w:vAlign w:val="bottom"/>
            <w:tcBorders>
              <w:left w:val="single" w:sz="8" w:color="auto"/>
            </w:tcBorders>
          </w:tcPr>
          <w:p>
            <w:pPr>
              <w:ind w:left="120"/>
              <w:spacing w:after="0"/>
              <w:rPr>
                <w:sz w:val="20"/>
                <w:szCs w:val="20"/>
                <w:color w:val="auto"/>
              </w:rPr>
            </w:pPr>
            <w:r>
              <w:rPr>
                <w:rFonts w:ascii="Calibri" w:cs="Calibri" w:eastAsia="Calibri" w:hAnsi="Calibri"/>
                <w:sz w:val="20"/>
                <w:szCs w:val="20"/>
                <w:b w:val="1"/>
                <w:bCs w:val="1"/>
                <w:color w:val="auto"/>
              </w:rPr>
              <w:t>Composizione</w:t>
            </w:r>
          </w:p>
        </w:tc>
        <w:tc>
          <w:tcPr>
            <w:tcW w:w="1940" w:type="dxa"/>
            <w:vAlign w:val="bottom"/>
            <w:tcBorders>
              <w:right w:val="single" w:sz="8" w:color="auto"/>
            </w:tcBorders>
          </w:tcPr>
          <w:p>
            <w:pPr>
              <w:spacing w:after="0"/>
              <w:rPr>
                <w:sz w:val="24"/>
                <w:szCs w:val="24"/>
                <w:color w:val="auto"/>
              </w:rPr>
            </w:pPr>
          </w:p>
        </w:tc>
        <w:tc>
          <w:tcPr>
            <w:tcW w:w="62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Organizzazioni sindacali ammesse alla contrattazione (elenco sigle):</w:t>
            </w:r>
          </w:p>
        </w:tc>
        <w:tc>
          <w:tcPr>
            <w:tcW w:w="0" w:type="dxa"/>
            <w:vAlign w:val="bottom"/>
          </w:tcPr>
          <w:p>
            <w:pPr>
              <w:spacing w:after="0"/>
              <w:rPr>
                <w:sz w:val="1"/>
                <w:szCs w:val="1"/>
                <w:color w:val="auto"/>
              </w:rPr>
            </w:pPr>
          </w:p>
        </w:tc>
      </w:tr>
      <w:tr>
        <w:trPr>
          <w:trHeight w:val="324"/>
        </w:trPr>
        <w:tc>
          <w:tcPr>
            <w:tcW w:w="3380" w:type="dxa"/>
            <w:vAlign w:val="bottom"/>
            <w:tcBorders>
              <w:left w:val="single" w:sz="8" w:color="auto"/>
              <w:right w:val="single" w:sz="8" w:color="auto"/>
            </w:tcBorders>
            <w:gridSpan w:val="2"/>
          </w:tcPr>
          <w:p>
            <w:pPr>
              <w:ind w:left="120"/>
              <w:spacing w:after="0"/>
              <w:rPr>
                <w:sz w:val="20"/>
                <w:szCs w:val="20"/>
                <w:color w:val="auto"/>
              </w:rPr>
            </w:pPr>
            <w:r>
              <w:rPr>
                <w:rFonts w:ascii="Calibri" w:cs="Calibri" w:eastAsia="Calibri" w:hAnsi="Calibri"/>
                <w:sz w:val="20"/>
                <w:szCs w:val="20"/>
                <w:b w:val="1"/>
                <w:bCs w:val="1"/>
                <w:color w:val="auto"/>
              </w:rPr>
              <w:t>della delegazione trattante</w:t>
            </w: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356"/>
        </w:trPr>
        <w:tc>
          <w:tcPr>
            <w:tcW w:w="1440" w:type="dxa"/>
            <w:vAlign w:val="bottom"/>
            <w:tcBorders>
              <w:left w:val="single" w:sz="8" w:color="auto"/>
            </w:tcBorders>
          </w:tcPr>
          <w:p>
            <w:pPr>
              <w:spacing w:after="0"/>
              <w:rPr>
                <w:sz w:val="24"/>
                <w:szCs w:val="24"/>
                <w:color w:val="auto"/>
              </w:rPr>
            </w:pPr>
          </w:p>
        </w:tc>
        <w:tc>
          <w:tcPr>
            <w:tcW w:w="1940" w:type="dxa"/>
            <w:vAlign w:val="bottom"/>
            <w:tcBorders>
              <w:right w:val="single" w:sz="8" w:color="auto"/>
            </w:tcBorders>
          </w:tcPr>
          <w:p>
            <w:pPr>
              <w:spacing w:after="0"/>
              <w:rPr>
                <w:sz w:val="24"/>
                <w:szCs w:val="24"/>
                <w:color w:val="auto"/>
              </w:rPr>
            </w:pPr>
          </w:p>
        </w:tc>
        <w:tc>
          <w:tcPr>
            <w:tcW w:w="62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Organizzazioni sindacali firmatarie (elenco sigle):</w:t>
            </w:r>
          </w:p>
        </w:tc>
        <w:tc>
          <w:tcPr>
            <w:tcW w:w="0" w:type="dxa"/>
            <w:vAlign w:val="bottom"/>
          </w:tcPr>
          <w:p>
            <w:pPr>
              <w:spacing w:after="0"/>
              <w:rPr>
                <w:sz w:val="1"/>
                <w:szCs w:val="1"/>
                <w:color w:val="auto"/>
              </w:rPr>
            </w:pPr>
          </w:p>
        </w:tc>
      </w:tr>
      <w:tr>
        <w:trPr>
          <w:trHeight w:val="380"/>
        </w:trPr>
        <w:tc>
          <w:tcPr>
            <w:tcW w:w="1440" w:type="dxa"/>
            <w:vAlign w:val="bottom"/>
            <w:tcBorders>
              <w:left w:val="single" w:sz="8" w:color="auto"/>
            </w:tcBorders>
          </w:tcPr>
          <w:p>
            <w:pPr>
              <w:spacing w:after="0"/>
              <w:rPr>
                <w:sz w:val="24"/>
                <w:szCs w:val="24"/>
                <w:color w:val="auto"/>
              </w:rPr>
            </w:pPr>
          </w:p>
        </w:tc>
        <w:tc>
          <w:tcPr>
            <w:tcW w:w="1940" w:type="dxa"/>
            <w:vAlign w:val="bottom"/>
            <w:tcBorders>
              <w:right w:val="single" w:sz="8" w:color="auto"/>
            </w:tcBorders>
          </w:tcPr>
          <w:p>
            <w:pPr>
              <w:spacing w:after="0"/>
              <w:rPr>
                <w:sz w:val="24"/>
                <w:szCs w:val="24"/>
                <w:color w:val="auto"/>
              </w:rPr>
            </w:pP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107"/>
        </w:trPr>
        <w:tc>
          <w:tcPr>
            <w:tcW w:w="1440" w:type="dxa"/>
            <w:vAlign w:val="bottom"/>
            <w:tcBorders>
              <w:left w:val="single" w:sz="8" w:color="auto"/>
              <w:bottom w:val="single" w:sz="8" w:color="auto"/>
            </w:tcBorders>
          </w:tcPr>
          <w:p>
            <w:pPr>
              <w:spacing w:after="0"/>
              <w:rPr>
                <w:sz w:val="9"/>
                <w:szCs w:val="9"/>
                <w:color w:val="auto"/>
              </w:rPr>
            </w:pPr>
          </w:p>
        </w:tc>
        <w:tc>
          <w:tcPr>
            <w:tcW w:w="1940" w:type="dxa"/>
            <w:vAlign w:val="bottom"/>
            <w:tcBorders>
              <w:bottom w:val="single" w:sz="8" w:color="auto"/>
              <w:right w:val="single" w:sz="8" w:color="auto"/>
            </w:tcBorders>
          </w:tcPr>
          <w:p>
            <w:pPr>
              <w:spacing w:after="0"/>
              <w:rPr>
                <w:sz w:val="9"/>
                <w:szCs w:val="9"/>
                <w:color w:val="auto"/>
              </w:rPr>
            </w:pPr>
          </w:p>
        </w:tc>
        <w:tc>
          <w:tcPr>
            <w:tcW w:w="624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21"/>
        </w:trPr>
        <w:tc>
          <w:tcPr>
            <w:tcW w:w="3380" w:type="dxa"/>
            <w:vAlign w:val="bottom"/>
            <w:tcBorders>
              <w:left w:val="single" w:sz="8" w:color="auto"/>
              <w:right w:val="single" w:sz="8" w:color="auto"/>
            </w:tcBorders>
            <w:gridSpan w:val="2"/>
            <w:vMerge w:val="restart"/>
          </w:tcPr>
          <w:p>
            <w:pPr>
              <w:ind w:left="120"/>
              <w:spacing w:after="0"/>
              <w:rPr>
                <w:sz w:val="20"/>
                <w:szCs w:val="20"/>
                <w:color w:val="auto"/>
              </w:rPr>
            </w:pPr>
            <w:r>
              <w:rPr>
                <w:rFonts w:ascii="Calibri" w:cs="Calibri" w:eastAsia="Calibri" w:hAnsi="Calibri"/>
                <w:sz w:val="20"/>
                <w:szCs w:val="20"/>
                <w:b w:val="1"/>
                <w:bCs w:val="1"/>
                <w:color w:val="auto"/>
              </w:rPr>
              <w:t>Soggetti destinatari</w:t>
            </w:r>
          </w:p>
        </w:tc>
        <w:tc>
          <w:tcPr>
            <w:tcW w:w="6240" w:type="dxa"/>
            <w:vAlign w:val="bottom"/>
            <w:tcBorders>
              <w:right w:val="single" w:sz="8" w:color="auto"/>
            </w:tcBorders>
          </w:tcPr>
          <w:p>
            <w:pPr>
              <w:ind w:left="100"/>
              <w:spacing w:after="0" w:line="220" w:lineRule="exact"/>
              <w:rPr>
                <w:sz w:val="20"/>
                <w:szCs w:val="20"/>
                <w:color w:val="auto"/>
              </w:rPr>
            </w:pPr>
            <w:r>
              <w:rPr>
                <w:rFonts w:ascii="Times New Roman" w:cs="Times New Roman" w:eastAsia="Times New Roman" w:hAnsi="Times New Roman"/>
                <w:sz w:val="22"/>
                <w:szCs w:val="22"/>
                <w:color w:val="auto"/>
              </w:rPr>
              <w:t>Dirigenti scolastici della regione ABRUZZO in servizio nell’a.s.</w:t>
            </w:r>
          </w:p>
        </w:tc>
        <w:tc>
          <w:tcPr>
            <w:tcW w:w="0" w:type="dxa"/>
            <w:vAlign w:val="bottom"/>
          </w:tcPr>
          <w:p>
            <w:pPr>
              <w:spacing w:after="0"/>
              <w:rPr>
                <w:sz w:val="1"/>
                <w:szCs w:val="1"/>
                <w:color w:val="auto"/>
              </w:rPr>
            </w:pPr>
          </w:p>
        </w:tc>
      </w:tr>
      <w:tr>
        <w:trPr>
          <w:trHeight w:val="150"/>
        </w:trPr>
        <w:tc>
          <w:tcPr>
            <w:tcW w:w="3380" w:type="dxa"/>
            <w:vAlign w:val="bottom"/>
            <w:tcBorders>
              <w:left w:val="single" w:sz="8" w:color="auto"/>
              <w:right w:val="single" w:sz="8" w:color="auto"/>
            </w:tcBorders>
            <w:gridSpan w:val="2"/>
            <w:vMerge w:val="continue"/>
          </w:tcPr>
          <w:p>
            <w:pPr>
              <w:spacing w:after="0"/>
              <w:rPr>
                <w:sz w:val="13"/>
                <w:szCs w:val="13"/>
                <w:color w:val="auto"/>
              </w:rPr>
            </w:pPr>
          </w:p>
        </w:tc>
        <w:tc>
          <w:tcPr>
            <w:tcW w:w="6240" w:type="dxa"/>
            <w:vAlign w:val="bottom"/>
            <w:tcBorders>
              <w:right w:val="single" w:sz="8" w:color="auto"/>
            </w:tcBorders>
            <w:vMerge w:val="restart"/>
          </w:tcPr>
          <w:p>
            <w:pPr>
              <w:ind w:left="100"/>
              <w:spacing w:after="0"/>
              <w:rPr>
                <w:sz w:val="20"/>
                <w:szCs w:val="20"/>
                <w:color w:val="auto"/>
              </w:rPr>
            </w:pPr>
            <w:r>
              <w:rPr>
                <w:rFonts w:ascii="Times New Roman" w:cs="Times New Roman" w:eastAsia="Times New Roman" w:hAnsi="Times New Roman"/>
                <w:sz w:val="22"/>
                <w:szCs w:val="22"/>
                <w:color w:val="auto"/>
              </w:rPr>
              <w:t>2015/2016</w:t>
            </w:r>
          </w:p>
        </w:tc>
        <w:tc>
          <w:tcPr>
            <w:tcW w:w="0" w:type="dxa"/>
            <w:vAlign w:val="bottom"/>
          </w:tcPr>
          <w:p>
            <w:pPr>
              <w:spacing w:after="0"/>
              <w:rPr>
                <w:sz w:val="1"/>
                <w:szCs w:val="1"/>
                <w:color w:val="auto"/>
              </w:rPr>
            </w:pPr>
          </w:p>
        </w:tc>
      </w:tr>
      <w:tr>
        <w:trPr>
          <w:trHeight w:val="138"/>
        </w:trPr>
        <w:tc>
          <w:tcPr>
            <w:tcW w:w="1440" w:type="dxa"/>
            <w:vAlign w:val="bottom"/>
            <w:tcBorders>
              <w:left w:val="single" w:sz="8" w:color="auto"/>
            </w:tcBorders>
          </w:tcPr>
          <w:p>
            <w:pPr>
              <w:spacing w:after="0"/>
              <w:rPr>
                <w:sz w:val="12"/>
                <w:szCs w:val="12"/>
                <w:color w:val="auto"/>
              </w:rPr>
            </w:pPr>
          </w:p>
        </w:tc>
        <w:tc>
          <w:tcPr>
            <w:tcW w:w="1940" w:type="dxa"/>
            <w:vAlign w:val="bottom"/>
            <w:tcBorders>
              <w:right w:val="single" w:sz="8" w:color="auto"/>
            </w:tcBorders>
          </w:tcPr>
          <w:p>
            <w:pPr>
              <w:spacing w:after="0"/>
              <w:rPr>
                <w:sz w:val="12"/>
                <w:szCs w:val="12"/>
                <w:color w:val="auto"/>
              </w:rPr>
            </w:pPr>
          </w:p>
        </w:tc>
        <w:tc>
          <w:tcPr>
            <w:tcW w:w="6240" w:type="dxa"/>
            <w:vAlign w:val="bottom"/>
            <w:tcBorders>
              <w:right w:val="single" w:sz="8" w:color="auto"/>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7"/>
        </w:trPr>
        <w:tc>
          <w:tcPr>
            <w:tcW w:w="1440" w:type="dxa"/>
            <w:vAlign w:val="bottom"/>
            <w:tcBorders>
              <w:left w:val="single" w:sz="8" w:color="auto"/>
              <w:bottom w:val="single" w:sz="8" w:color="auto"/>
            </w:tcBorders>
          </w:tcPr>
          <w:p>
            <w:pPr>
              <w:spacing w:after="0"/>
              <w:rPr>
                <w:sz w:val="9"/>
                <w:szCs w:val="9"/>
                <w:color w:val="auto"/>
              </w:rPr>
            </w:pPr>
          </w:p>
        </w:tc>
        <w:tc>
          <w:tcPr>
            <w:tcW w:w="1940" w:type="dxa"/>
            <w:vAlign w:val="bottom"/>
            <w:tcBorders>
              <w:bottom w:val="single" w:sz="8" w:color="auto"/>
              <w:right w:val="single" w:sz="8" w:color="auto"/>
            </w:tcBorders>
          </w:tcPr>
          <w:p>
            <w:pPr>
              <w:spacing w:after="0"/>
              <w:rPr>
                <w:sz w:val="9"/>
                <w:szCs w:val="9"/>
                <w:color w:val="auto"/>
              </w:rPr>
            </w:pPr>
          </w:p>
        </w:tc>
        <w:tc>
          <w:tcPr>
            <w:tcW w:w="624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21"/>
        </w:trPr>
        <w:tc>
          <w:tcPr>
            <w:tcW w:w="1440" w:type="dxa"/>
            <w:vAlign w:val="bottom"/>
            <w:tcBorders>
              <w:left w:val="single" w:sz="8" w:color="auto"/>
            </w:tcBorders>
          </w:tcPr>
          <w:p>
            <w:pPr>
              <w:spacing w:after="0"/>
              <w:rPr>
                <w:sz w:val="19"/>
                <w:szCs w:val="19"/>
                <w:color w:val="auto"/>
              </w:rPr>
            </w:pPr>
          </w:p>
        </w:tc>
        <w:tc>
          <w:tcPr>
            <w:tcW w:w="1940" w:type="dxa"/>
            <w:vAlign w:val="bottom"/>
            <w:tcBorders>
              <w:right w:val="single" w:sz="8" w:color="auto"/>
            </w:tcBorders>
          </w:tcPr>
          <w:p>
            <w:pPr>
              <w:spacing w:after="0"/>
              <w:rPr>
                <w:sz w:val="19"/>
                <w:szCs w:val="19"/>
                <w:color w:val="auto"/>
              </w:rPr>
            </w:pPr>
          </w:p>
        </w:tc>
        <w:tc>
          <w:tcPr>
            <w:tcW w:w="6240" w:type="dxa"/>
            <w:vAlign w:val="bottom"/>
            <w:tcBorders>
              <w:right w:val="single" w:sz="8" w:color="auto"/>
            </w:tcBorders>
          </w:tcPr>
          <w:p>
            <w:pPr>
              <w:ind w:left="100"/>
              <w:spacing w:after="0" w:line="220" w:lineRule="exact"/>
              <w:rPr>
                <w:sz w:val="20"/>
                <w:szCs w:val="20"/>
                <w:color w:val="auto"/>
              </w:rPr>
            </w:pPr>
            <w:r>
              <w:rPr>
                <w:rFonts w:ascii="Times New Roman" w:cs="Times New Roman" w:eastAsia="Times New Roman" w:hAnsi="Times New Roman"/>
                <w:sz w:val="22"/>
                <w:szCs w:val="22"/>
                <w:color w:val="auto"/>
              </w:rPr>
              <w:t>Criteri e modalità di utilizzazione del Fondo regionale per la</w:t>
            </w:r>
          </w:p>
        </w:tc>
        <w:tc>
          <w:tcPr>
            <w:tcW w:w="0" w:type="dxa"/>
            <w:vAlign w:val="bottom"/>
          </w:tcPr>
          <w:p>
            <w:pPr>
              <w:spacing w:after="0"/>
              <w:rPr>
                <w:sz w:val="1"/>
                <w:szCs w:val="1"/>
                <w:color w:val="auto"/>
              </w:rPr>
            </w:pPr>
          </w:p>
        </w:tc>
      </w:tr>
      <w:tr>
        <w:trPr>
          <w:trHeight w:val="252"/>
        </w:trPr>
        <w:tc>
          <w:tcPr>
            <w:tcW w:w="3380" w:type="dxa"/>
            <w:vAlign w:val="bottom"/>
            <w:tcBorders>
              <w:left w:val="single" w:sz="8" w:color="auto"/>
              <w:right w:val="single" w:sz="8" w:color="auto"/>
            </w:tcBorders>
            <w:gridSpan w:val="2"/>
          </w:tcPr>
          <w:p>
            <w:pPr>
              <w:ind w:left="120"/>
              <w:spacing w:after="0"/>
              <w:rPr>
                <w:sz w:val="20"/>
                <w:szCs w:val="20"/>
                <w:color w:val="auto"/>
              </w:rPr>
            </w:pPr>
            <w:r>
              <w:rPr>
                <w:rFonts w:ascii="Calibri" w:cs="Calibri" w:eastAsia="Calibri" w:hAnsi="Calibri"/>
                <w:sz w:val="20"/>
                <w:szCs w:val="20"/>
                <w:b w:val="1"/>
                <w:bCs w:val="1"/>
                <w:color w:val="auto"/>
              </w:rPr>
              <w:t xml:space="preserve">Materie trattate dal </w:t>
            </w:r>
            <w:r>
              <w:rPr>
                <w:rFonts w:ascii="Calibri" w:cs="Calibri" w:eastAsia="Calibri" w:hAnsi="Calibri"/>
                <w:sz w:val="20"/>
                <w:szCs w:val="20"/>
                <w:b w:val="1"/>
                <w:bCs w:val="1"/>
                <w:i w:val="1"/>
                <w:iCs w:val="1"/>
                <w:color w:val="auto"/>
              </w:rPr>
              <w:t>provvedimento</w:t>
            </w:r>
          </w:p>
        </w:tc>
        <w:tc>
          <w:tcPr>
            <w:tcW w:w="6240" w:type="dxa"/>
            <w:vAlign w:val="bottom"/>
            <w:tcBorders>
              <w:right w:val="single" w:sz="8" w:color="auto"/>
            </w:tcBorders>
          </w:tcPr>
          <w:p>
            <w:pPr>
              <w:ind w:left="100"/>
              <w:spacing w:after="0" w:line="252" w:lineRule="exact"/>
              <w:rPr>
                <w:sz w:val="20"/>
                <w:szCs w:val="20"/>
                <w:color w:val="auto"/>
              </w:rPr>
            </w:pPr>
            <w:r>
              <w:rPr>
                <w:rFonts w:ascii="Times New Roman" w:cs="Times New Roman" w:eastAsia="Times New Roman" w:hAnsi="Times New Roman"/>
                <w:sz w:val="22"/>
                <w:szCs w:val="22"/>
                <w:color w:val="auto"/>
              </w:rPr>
              <w:t>determinazione  della  retribuzione  di  posizione  e  di  risultato</w:t>
            </w:r>
          </w:p>
        </w:tc>
        <w:tc>
          <w:tcPr>
            <w:tcW w:w="0" w:type="dxa"/>
            <w:vAlign w:val="bottom"/>
          </w:tcPr>
          <w:p>
            <w:pPr>
              <w:spacing w:after="0"/>
              <w:rPr>
                <w:sz w:val="1"/>
                <w:szCs w:val="1"/>
                <w:color w:val="auto"/>
              </w:rPr>
            </w:pPr>
          </w:p>
        </w:tc>
      </w:tr>
      <w:tr>
        <w:trPr>
          <w:trHeight w:val="254"/>
        </w:trPr>
        <w:tc>
          <w:tcPr>
            <w:tcW w:w="3380" w:type="dxa"/>
            <w:vAlign w:val="bottom"/>
            <w:tcBorders>
              <w:left w:val="single" w:sz="8" w:color="auto"/>
              <w:right w:val="single" w:sz="8" w:color="auto"/>
            </w:tcBorders>
            <w:gridSpan w:val="2"/>
          </w:tcPr>
          <w:p>
            <w:pPr>
              <w:ind w:left="120"/>
              <w:spacing w:after="0"/>
              <w:rPr>
                <w:sz w:val="20"/>
                <w:szCs w:val="20"/>
                <w:color w:val="auto"/>
              </w:rPr>
            </w:pPr>
            <w:r>
              <w:rPr>
                <w:rFonts w:ascii="Calibri" w:cs="Calibri" w:eastAsia="Calibri" w:hAnsi="Calibri"/>
                <w:sz w:val="20"/>
                <w:szCs w:val="20"/>
                <w:b w:val="1"/>
                <w:bCs w:val="1"/>
                <w:color w:val="auto"/>
              </w:rPr>
              <w:t>(descrizione sintetica)</w:t>
            </w: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spettante ai Dirigenti Scolastici della regione Abruzzo in servizio</w:t>
            </w:r>
          </w:p>
        </w:tc>
        <w:tc>
          <w:tcPr>
            <w:tcW w:w="0" w:type="dxa"/>
            <w:vAlign w:val="bottom"/>
          </w:tcPr>
          <w:p>
            <w:pPr>
              <w:spacing w:after="0"/>
              <w:rPr>
                <w:sz w:val="1"/>
                <w:szCs w:val="1"/>
                <w:color w:val="auto"/>
              </w:rPr>
            </w:pPr>
          </w:p>
        </w:tc>
      </w:tr>
      <w:tr>
        <w:trPr>
          <w:trHeight w:val="288"/>
        </w:trPr>
        <w:tc>
          <w:tcPr>
            <w:tcW w:w="1440" w:type="dxa"/>
            <w:vAlign w:val="bottom"/>
            <w:tcBorders>
              <w:left w:val="single" w:sz="8" w:color="auto"/>
            </w:tcBorders>
          </w:tcPr>
          <w:p>
            <w:pPr>
              <w:spacing w:after="0"/>
              <w:rPr>
                <w:sz w:val="24"/>
                <w:szCs w:val="24"/>
                <w:color w:val="auto"/>
              </w:rPr>
            </w:pPr>
          </w:p>
        </w:tc>
        <w:tc>
          <w:tcPr>
            <w:tcW w:w="1940" w:type="dxa"/>
            <w:vAlign w:val="bottom"/>
            <w:tcBorders>
              <w:right w:val="single" w:sz="8" w:color="auto"/>
            </w:tcBorders>
          </w:tcPr>
          <w:p>
            <w:pPr>
              <w:spacing w:after="0"/>
              <w:rPr>
                <w:sz w:val="24"/>
                <w:szCs w:val="24"/>
                <w:color w:val="auto"/>
              </w:rPr>
            </w:pP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nell’a.s. 2015/2016..</w:t>
            </w:r>
          </w:p>
        </w:tc>
        <w:tc>
          <w:tcPr>
            <w:tcW w:w="0" w:type="dxa"/>
            <w:vAlign w:val="bottom"/>
          </w:tcPr>
          <w:p>
            <w:pPr>
              <w:spacing w:after="0"/>
              <w:rPr>
                <w:sz w:val="1"/>
                <w:szCs w:val="1"/>
                <w:color w:val="auto"/>
              </w:rPr>
            </w:pPr>
          </w:p>
        </w:tc>
      </w:tr>
      <w:tr>
        <w:trPr>
          <w:trHeight w:val="107"/>
        </w:trPr>
        <w:tc>
          <w:tcPr>
            <w:tcW w:w="1440" w:type="dxa"/>
            <w:vAlign w:val="bottom"/>
            <w:tcBorders>
              <w:left w:val="single" w:sz="8" w:color="auto"/>
              <w:bottom w:val="single" w:sz="8" w:color="auto"/>
            </w:tcBorders>
          </w:tcPr>
          <w:p>
            <w:pPr>
              <w:spacing w:after="0"/>
              <w:rPr>
                <w:sz w:val="9"/>
                <w:szCs w:val="9"/>
                <w:color w:val="auto"/>
              </w:rPr>
            </w:pPr>
          </w:p>
        </w:tc>
        <w:tc>
          <w:tcPr>
            <w:tcW w:w="1940" w:type="dxa"/>
            <w:vAlign w:val="bottom"/>
            <w:tcBorders>
              <w:bottom w:val="single" w:sz="8" w:color="auto"/>
              <w:right w:val="single" w:sz="8" w:color="auto"/>
            </w:tcBorders>
          </w:tcPr>
          <w:p>
            <w:pPr>
              <w:spacing w:after="0"/>
              <w:rPr>
                <w:sz w:val="9"/>
                <w:szCs w:val="9"/>
                <w:color w:val="auto"/>
              </w:rPr>
            </w:pPr>
          </w:p>
        </w:tc>
        <w:tc>
          <w:tcPr>
            <w:tcW w:w="624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31"/>
        </w:trPr>
        <w:tc>
          <w:tcPr>
            <w:tcW w:w="1440" w:type="dxa"/>
            <w:vAlign w:val="bottom"/>
            <w:tcBorders>
              <w:left w:val="single" w:sz="8" w:color="auto"/>
              <w:right w:val="single" w:sz="8" w:color="auto"/>
            </w:tcBorders>
            <w:vMerge w:val="restart"/>
            <w:textDirection w:val="btLr"/>
          </w:tcPr>
          <w:p>
            <w:pPr>
              <w:ind w:left="1299"/>
              <w:spacing w:after="0"/>
              <w:rPr>
                <w:sz w:val="20"/>
                <w:szCs w:val="20"/>
                <w:color w:val="auto"/>
              </w:rPr>
            </w:pPr>
            <w:r>
              <w:rPr>
                <w:rFonts w:ascii="Calibri" w:cs="Calibri" w:eastAsia="Calibri" w:hAnsi="Calibri"/>
                <w:sz w:val="9"/>
                <w:szCs w:val="9"/>
                <w:b w:val="1"/>
                <w:bCs w:val="1"/>
                <w:color w:val="auto"/>
                <w:w w:val="74"/>
              </w:rPr>
              <w:t>adempimenti proceduraleedegliattipropedeuticiesuccessiviallacontrattazione</w:t>
            </w:r>
          </w:p>
        </w:tc>
        <w:tc>
          <w:tcPr>
            <w:tcW w:w="1940" w:type="dxa"/>
            <w:vAlign w:val="bottom"/>
            <w:tcBorders>
              <w:right w:val="single" w:sz="8" w:color="auto"/>
            </w:tcBorders>
          </w:tcPr>
          <w:p>
            <w:pPr>
              <w:ind w:left="100"/>
              <w:spacing w:after="0" w:line="230" w:lineRule="exact"/>
              <w:rPr>
                <w:sz w:val="20"/>
                <w:szCs w:val="20"/>
                <w:color w:val="auto"/>
              </w:rPr>
            </w:pPr>
            <w:r>
              <w:rPr>
                <w:rFonts w:ascii="Calibri" w:cs="Calibri" w:eastAsia="Calibri" w:hAnsi="Calibri"/>
                <w:sz w:val="20"/>
                <w:szCs w:val="20"/>
                <w:b w:val="1"/>
                <w:bCs w:val="1"/>
                <w:color w:val="auto"/>
              </w:rPr>
              <w:t>Intervento</w:t>
            </w:r>
          </w:p>
        </w:tc>
        <w:tc>
          <w:tcPr>
            <w:tcW w:w="6240" w:type="dxa"/>
            <w:vAlign w:val="bottom"/>
            <w:tcBorders>
              <w:right w:val="single" w:sz="8" w:color="auto"/>
            </w:tcBorders>
            <w:vMerge w:val="restart"/>
          </w:tcPr>
          <w:p>
            <w:pPr>
              <w:ind w:left="100"/>
              <w:spacing w:after="0"/>
              <w:rPr>
                <w:sz w:val="20"/>
                <w:szCs w:val="20"/>
                <w:color w:val="auto"/>
              </w:rPr>
            </w:pPr>
            <w:r>
              <w:rPr>
                <w:rFonts w:ascii="Calibri" w:cs="Calibri" w:eastAsia="Calibri" w:hAnsi="Calibri"/>
                <w:sz w:val="20"/>
                <w:szCs w:val="20"/>
                <w:color w:val="auto"/>
              </w:rPr>
              <w:t>È stata acquisita la certificazione dell’Organo di controllo interno</w:t>
            </w:r>
          </w:p>
        </w:tc>
        <w:tc>
          <w:tcPr>
            <w:tcW w:w="0" w:type="dxa"/>
            <w:vAlign w:val="bottom"/>
          </w:tcPr>
          <w:p>
            <w:pPr>
              <w:spacing w:after="0"/>
              <w:rPr>
                <w:sz w:val="1"/>
                <w:szCs w:val="1"/>
                <w:color w:val="auto"/>
              </w:rPr>
            </w:pPr>
          </w:p>
        </w:tc>
      </w:tr>
      <w:tr>
        <w:trPr>
          <w:trHeight w:val="245"/>
        </w:trPr>
        <w:tc>
          <w:tcPr>
            <w:tcW w:w="1440" w:type="dxa"/>
            <w:vAlign w:val="bottom"/>
            <w:tcBorders>
              <w:left w:val="single" w:sz="8" w:color="auto"/>
              <w:right w:val="single" w:sz="8" w:color="auto"/>
            </w:tcBorders>
            <w:vMerge w:val="continue"/>
          </w:tcPr>
          <w:p>
            <w:pPr>
              <w:spacing w:after="0"/>
              <w:rPr>
                <w:sz w:val="21"/>
                <w:szCs w:val="21"/>
                <w:color w:val="auto"/>
              </w:rPr>
            </w:pPr>
          </w:p>
        </w:tc>
        <w:tc>
          <w:tcPr>
            <w:tcW w:w="19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dell’Organo di</w:t>
            </w:r>
          </w:p>
        </w:tc>
        <w:tc>
          <w:tcPr>
            <w:tcW w:w="6240" w:type="dxa"/>
            <w:vAlign w:val="bottom"/>
            <w:tcBorders>
              <w:right w:val="single" w:sz="8" w:color="auto"/>
            </w:tcBorders>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329"/>
        </w:trPr>
        <w:tc>
          <w:tcPr>
            <w:tcW w:w="1440" w:type="dxa"/>
            <w:vAlign w:val="bottom"/>
            <w:tcBorders>
              <w:left w:val="single" w:sz="8" w:color="auto"/>
              <w:right w:val="single" w:sz="8" w:color="auto"/>
            </w:tcBorders>
            <w:vMerge w:val="continue"/>
          </w:tcPr>
          <w:p>
            <w:pPr>
              <w:spacing w:after="0"/>
              <w:rPr>
                <w:sz w:val="24"/>
                <w:szCs w:val="24"/>
                <w:color w:val="auto"/>
              </w:rPr>
            </w:pPr>
          </w:p>
        </w:tc>
        <w:tc>
          <w:tcPr>
            <w:tcW w:w="19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controllo interno.</w:t>
            </w:r>
          </w:p>
        </w:tc>
        <w:tc>
          <w:tcPr>
            <w:tcW w:w="6240" w:type="dxa"/>
            <w:vAlign w:val="bottom"/>
            <w:tcBorders>
              <w:right w:val="single" w:sz="8" w:color="auto"/>
            </w:tcBorders>
          </w:tcPr>
          <w:p>
            <w:pPr>
              <w:ind w:left="14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281"/>
        </w:trPr>
        <w:tc>
          <w:tcPr>
            <w:tcW w:w="1440" w:type="dxa"/>
            <w:vAlign w:val="bottom"/>
            <w:tcBorders>
              <w:left w:val="single" w:sz="8" w:color="auto"/>
              <w:right w:val="single" w:sz="8" w:color="auto"/>
            </w:tcBorders>
            <w:vMerge w:val="continue"/>
          </w:tcPr>
          <w:p>
            <w:pPr>
              <w:spacing w:after="0"/>
              <w:rPr>
                <w:sz w:val="24"/>
                <w:szCs w:val="24"/>
                <w:color w:val="auto"/>
              </w:rPr>
            </w:pPr>
          </w:p>
        </w:tc>
        <w:tc>
          <w:tcPr>
            <w:tcW w:w="19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Allegazione della</w:t>
            </w:r>
          </w:p>
        </w:tc>
        <w:tc>
          <w:tcPr>
            <w:tcW w:w="624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1440" w:type="dxa"/>
            <w:vAlign w:val="bottom"/>
            <w:tcBorders>
              <w:left w:val="single" w:sz="8" w:color="auto"/>
              <w:right w:val="single" w:sz="8" w:color="auto"/>
            </w:tcBorders>
            <w:vMerge w:val="continue"/>
          </w:tcPr>
          <w:p>
            <w:pPr>
              <w:spacing w:after="0"/>
              <w:rPr>
                <w:sz w:val="19"/>
                <w:szCs w:val="19"/>
                <w:color w:val="auto"/>
              </w:rPr>
            </w:pPr>
          </w:p>
        </w:tc>
        <w:tc>
          <w:tcPr>
            <w:tcW w:w="1940" w:type="dxa"/>
            <w:vAlign w:val="bottom"/>
            <w:tcBorders>
              <w:right w:val="single" w:sz="8" w:color="auto"/>
            </w:tcBorders>
          </w:tcPr>
          <w:p>
            <w:pPr>
              <w:ind w:left="100"/>
              <w:spacing w:after="0" w:line="222" w:lineRule="exact"/>
              <w:rPr>
                <w:sz w:val="20"/>
                <w:szCs w:val="20"/>
                <w:color w:val="auto"/>
              </w:rPr>
            </w:pPr>
            <w:r>
              <w:rPr>
                <w:rFonts w:ascii="Calibri" w:cs="Calibri" w:eastAsia="Calibri" w:hAnsi="Calibri"/>
                <w:sz w:val="20"/>
                <w:szCs w:val="20"/>
                <w:b w:val="1"/>
                <w:bCs w:val="1"/>
                <w:color w:val="auto"/>
              </w:rPr>
              <w:t>Certificazione</w:t>
            </w:r>
          </w:p>
        </w:tc>
        <w:tc>
          <w:tcPr>
            <w:tcW w:w="6240" w:type="dxa"/>
            <w:vAlign w:val="bottom"/>
            <w:tcBorders>
              <w:right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1440" w:type="dxa"/>
            <w:vAlign w:val="bottom"/>
            <w:tcBorders>
              <w:left w:val="single" w:sz="8" w:color="auto"/>
              <w:right w:val="single" w:sz="8" w:color="auto"/>
            </w:tcBorders>
            <w:vMerge w:val="continue"/>
          </w:tcPr>
          <w:p>
            <w:pPr>
              <w:spacing w:after="0"/>
              <w:rPr>
                <w:sz w:val="21"/>
                <w:szCs w:val="21"/>
                <w:color w:val="auto"/>
              </w:rPr>
            </w:pPr>
          </w:p>
        </w:tc>
        <w:tc>
          <w:tcPr>
            <w:tcW w:w="19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dell’Organo di</w:t>
            </w:r>
          </w:p>
        </w:tc>
        <w:tc>
          <w:tcPr>
            <w:tcW w:w="6240" w:type="dxa"/>
            <w:vAlign w:val="bottom"/>
            <w:tcBorders>
              <w:right w:val="single" w:sz="8" w:color="auto"/>
            </w:tcBorders>
            <w:vMerge w:val="restart"/>
          </w:tcPr>
          <w:p>
            <w:pPr>
              <w:ind w:left="200"/>
              <w:spacing w:after="0"/>
              <w:rPr>
                <w:sz w:val="20"/>
                <w:szCs w:val="20"/>
                <w:color w:val="auto"/>
              </w:rPr>
            </w:pPr>
            <w:r>
              <w:rPr>
                <w:rFonts w:ascii="Calibri" w:cs="Calibri" w:eastAsia="Calibri" w:hAnsi="Calibri"/>
                <w:sz w:val="20"/>
                <w:szCs w:val="20"/>
                <w:color w:val="auto"/>
              </w:rPr>
              <w:t>Nel caso l’Organo di controllo interno abbia effettuato rilievi, descriverli</w:t>
            </w:r>
          </w:p>
        </w:tc>
        <w:tc>
          <w:tcPr>
            <w:tcW w:w="0" w:type="dxa"/>
            <w:vAlign w:val="bottom"/>
          </w:tcPr>
          <w:p>
            <w:pPr>
              <w:spacing w:after="0"/>
              <w:rPr>
                <w:sz w:val="1"/>
                <w:szCs w:val="1"/>
                <w:color w:val="auto"/>
              </w:rPr>
            </w:pPr>
          </w:p>
        </w:tc>
      </w:tr>
      <w:tr>
        <w:trPr>
          <w:trHeight w:val="100"/>
        </w:trPr>
        <w:tc>
          <w:tcPr>
            <w:tcW w:w="1440" w:type="dxa"/>
            <w:vAlign w:val="bottom"/>
            <w:tcBorders>
              <w:left w:val="single" w:sz="8" w:color="auto"/>
              <w:right w:val="single" w:sz="8" w:color="auto"/>
            </w:tcBorders>
            <w:vMerge w:val="continue"/>
          </w:tcPr>
          <w:p>
            <w:pPr>
              <w:spacing w:after="0"/>
              <w:rPr>
                <w:sz w:val="8"/>
                <w:szCs w:val="8"/>
                <w:color w:val="auto"/>
              </w:rPr>
            </w:pPr>
          </w:p>
        </w:tc>
        <w:tc>
          <w:tcPr>
            <w:tcW w:w="1940" w:type="dxa"/>
            <w:vAlign w:val="bottom"/>
            <w:tcBorders>
              <w:right w:val="single" w:sz="8" w:color="auto"/>
            </w:tcBorders>
            <w:vMerge w:val="restart"/>
          </w:tcPr>
          <w:p>
            <w:pPr>
              <w:ind w:left="100"/>
              <w:spacing w:after="0" w:line="242" w:lineRule="exact"/>
              <w:rPr>
                <w:sz w:val="20"/>
                <w:szCs w:val="20"/>
                <w:color w:val="auto"/>
              </w:rPr>
            </w:pPr>
            <w:r>
              <w:rPr>
                <w:rFonts w:ascii="Calibri" w:cs="Calibri" w:eastAsia="Calibri" w:hAnsi="Calibri"/>
                <w:sz w:val="20"/>
                <w:szCs w:val="20"/>
                <w:b w:val="1"/>
                <w:bCs w:val="1"/>
                <w:color w:val="auto"/>
              </w:rPr>
              <w:t>controllo interno</w:t>
            </w:r>
          </w:p>
        </w:tc>
        <w:tc>
          <w:tcPr>
            <w:tcW w:w="6240" w:type="dxa"/>
            <w:vAlign w:val="bottom"/>
            <w:tcBorders>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43"/>
        </w:trPr>
        <w:tc>
          <w:tcPr>
            <w:tcW w:w="1440" w:type="dxa"/>
            <w:vAlign w:val="bottom"/>
            <w:tcBorders>
              <w:left w:val="single" w:sz="8" w:color="auto"/>
              <w:right w:val="single" w:sz="8" w:color="auto"/>
            </w:tcBorders>
            <w:vMerge w:val="continue"/>
          </w:tcPr>
          <w:p>
            <w:pPr>
              <w:spacing w:after="0"/>
              <w:rPr>
                <w:sz w:val="12"/>
                <w:szCs w:val="12"/>
                <w:color w:val="auto"/>
              </w:rPr>
            </w:pPr>
          </w:p>
        </w:tc>
        <w:tc>
          <w:tcPr>
            <w:tcW w:w="1940" w:type="dxa"/>
            <w:vAlign w:val="bottom"/>
            <w:tcBorders>
              <w:right w:val="single" w:sz="8" w:color="auto"/>
            </w:tcBorders>
            <w:vMerge w:val="continue"/>
          </w:tcPr>
          <w:p>
            <w:pPr>
              <w:spacing w:after="0"/>
              <w:rPr>
                <w:sz w:val="12"/>
                <w:szCs w:val="12"/>
                <w:color w:val="auto"/>
              </w:rPr>
            </w:pPr>
          </w:p>
        </w:tc>
        <w:tc>
          <w:tcPr>
            <w:tcW w:w="6240" w:type="dxa"/>
            <w:vAlign w:val="bottom"/>
            <w:tcBorders>
              <w:right w:val="single" w:sz="8" w:color="auto"/>
            </w:tcBorders>
            <w:vMerge w:val="restart"/>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245"/>
        </w:trPr>
        <w:tc>
          <w:tcPr>
            <w:tcW w:w="1440" w:type="dxa"/>
            <w:vAlign w:val="bottom"/>
            <w:tcBorders>
              <w:left w:val="single" w:sz="8" w:color="auto"/>
              <w:right w:val="single" w:sz="8" w:color="auto"/>
            </w:tcBorders>
            <w:vMerge w:val="continue"/>
          </w:tcPr>
          <w:p>
            <w:pPr>
              <w:spacing w:after="0"/>
              <w:rPr>
                <w:sz w:val="21"/>
                <w:szCs w:val="21"/>
                <w:color w:val="auto"/>
              </w:rPr>
            </w:pPr>
          </w:p>
        </w:tc>
        <w:tc>
          <w:tcPr>
            <w:tcW w:w="19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alla Relazione</w:t>
            </w:r>
          </w:p>
        </w:tc>
        <w:tc>
          <w:tcPr>
            <w:tcW w:w="6240" w:type="dxa"/>
            <w:vAlign w:val="bottom"/>
            <w:tcBorders>
              <w:right w:val="single" w:sz="8" w:color="auto"/>
            </w:tcBorders>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253"/>
        </w:trPr>
        <w:tc>
          <w:tcPr>
            <w:tcW w:w="1440" w:type="dxa"/>
            <w:vAlign w:val="bottom"/>
            <w:tcBorders>
              <w:left w:val="single" w:sz="8" w:color="auto"/>
              <w:right w:val="single" w:sz="8" w:color="auto"/>
            </w:tcBorders>
            <w:vMerge w:val="continue"/>
          </w:tcPr>
          <w:p>
            <w:pPr>
              <w:spacing w:after="0"/>
              <w:rPr>
                <w:sz w:val="22"/>
                <w:szCs w:val="22"/>
                <w:color w:val="auto"/>
              </w:rPr>
            </w:pPr>
          </w:p>
        </w:tc>
        <w:tc>
          <w:tcPr>
            <w:tcW w:w="19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illustrativa.</w:t>
            </w:r>
          </w:p>
        </w:tc>
        <w:tc>
          <w:tcPr>
            <w:tcW w:w="6240" w:type="dxa"/>
            <w:vAlign w:val="bottom"/>
            <w:tcBorders>
              <w:right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115"/>
        </w:trPr>
        <w:tc>
          <w:tcPr>
            <w:tcW w:w="1440" w:type="dxa"/>
            <w:vAlign w:val="bottom"/>
            <w:tcBorders>
              <w:left w:val="single" w:sz="8" w:color="auto"/>
              <w:bottom w:val="single" w:sz="8" w:color="auto"/>
              <w:right w:val="single" w:sz="8" w:color="auto"/>
            </w:tcBorders>
          </w:tcPr>
          <w:p>
            <w:pPr>
              <w:spacing w:after="0"/>
              <w:rPr>
                <w:sz w:val="10"/>
                <w:szCs w:val="10"/>
                <w:color w:val="auto"/>
              </w:rPr>
            </w:pPr>
          </w:p>
        </w:tc>
        <w:tc>
          <w:tcPr>
            <w:tcW w:w="1940" w:type="dxa"/>
            <w:vAlign w:val="bottom"/>
            <w:tcBorders>
              <w:bottom w:val="single" w:sz="8" w:color="auto"/>
              <w:right w:val="single" w:sz="8" w:color="auto"/>
            </w:tcBorders>
          </w:tcPr>
          <w:p>
            <w:pPr>
              <w:spacing w:after="0"/>
              <w:rPr>
                <w:sz w:val="10"/>
                <w:szCs w:val="10"/>
                <w:color w:val="auto"/>
              </w:rPr>
            </w:pPr>
          </w:p>
        </w:tc>
        <w:tc>
          <w:tcPr>
            <w:tcW w:w="6240" w:type="dxa"/>
            <w:vAlign w:val="bottom"/>
            <w:tcBorders>
              <w:bottom w:val="single" w:sz="8" w:color="auto"/>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118" w:lineRule="exact"/>
        <w:rPr>
          <w:sz w:val="24"/>
          <w:szCs w:val="24"/>
          <w:color w:val="auto"/>
        </w:rPr>
      </w:pPr>
    </w:p>
    <w:p>
      <w:pPr>
        <w:ind w:left="9640"/>
        <w:spacing w:after="0"/>
        <w:rPr>
          <w:sz w:val="20"/>
          <w:szCs w:val="20"/>
          <w:color w:val="auto"/>
        </w:rPr>
      </w:pPr>
      <w:r>
        <w:rPr>
          <w:rFonts w:ascii="Calibri" w:cs="Calibri" w:eastAsia="Calibri" w:hAnsi="Calibri"/>
          <w:sz w:val="22"/>
          <w:szCs w:val="22"/>
          <w:color w:val="auto"/>
        </w:rPr>
        <w:t>1</w:t>
      </w:r>
    </w:p>
    <w:p>
      <w:pPr>
        <w:sectPr>
          <w:pgSz w:w="11900" w:h="16838" w:orient="portrait"/>
          <w:cols w:equalWidth="0" w:num="1">
            <w:col w:w="9760"/>
          </w:cols>
          <w:pgMar w:left="1020" w:top="1440" w:right="1120" w:bottom="707"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35"/>
          <w:szCs w:val="35"/>
          <w:color w:val="auto"/>
        </w:rPr>
        <w:t>Ministero dell’Istruzione, dell’Università e della Ricerca</w:t>
      </w:r>
    </w:p>
    <w:p>
      <w:pPr>
        <w:spacing w:after="0" w:line="279" w:lineRule="exact"/>
        <w:rPr>
          <w:sz w:val="20"/>
          <w:szCs w:val="20"/>
          <w:color w:val="auto"/>
        </w:rPr>
      </w:pPr>
    </w:p>
    <w:p>
      <w:pPr>
        <w:ind w:left="1280"/>
        <w:spacing w:after="0"/>
        <w:rPr>
          <w:sz w:val="20"/>
          <w:szCs w:val="20"/>
          <w:color w:val="auto"/>
        </w:rPr>
      </w:pPr>
      <w:r>
        <w:rPr>
          <w:rFonts w:ascii="Times New Roman" w:cs="Times New Roman" w:eastAsia="Times New Roman" w:hAnsi="Times New Roman"/>
          <w:sz w:val="39"/>
          <w:szCs w:val="39"/>
          <w:color w:val="auto"/>
        </w:rPr>
        <w:t>Ufficio Scolastico Regionale per l’Abruzzo</w:t>
      </w:r>
    </w:p>
    <w:p>
      <w:pPr>
        <w:spacing w:after="0" w:line="185" w:lineRule="exact"/>
        <w:rPr>
          <w:sz w:val="20"/>
          <w:szCs w:val="20"/>
          <w:color w:val="auto"/>
        </w:rPr>
      </w:pPr>
    </w:p>
    <w:p>
      <w:pPr>
        <w:ind w:left="2080"/>
        <w:spacing w:after="0"/>
        <w:rPr>
          <w:sz w:val="20"/>
          <w:szCs w:val="20"/>
          <w:color w:val="auto"/>
        </w:rPr>
      </w:pPr>
      <w:r>
        <w:rPr>
          <w:rFonts w:ascii="Times New Roman" w:cs="Times New Roman" w:eastAsia="Times New Roman" w:hAnsi="Times New Roman"/>
          <w:sz w:val="40"/>
          <w:szCs w:val="40"/>
          <w:color w:val="auto"/>
        </w:rPr>
        <w:t>Direzione Generale – Ufficio 1</w:t>
      </w:r>
    </w:p>
    <w:p>
      <w:pPr>
        <w:ind w:left="2080"/>
        <w:spacing w:after="0"/>
        <w:rPr>
          <w:sz w:val="20"/>
          <w:szCs w:val="20"/>
          <w:color w:val="auto"/>
        </w:rPr>
        <w:sectPr>
          <w:pgSz w:w="11900" w:h="16838" w:orient="portrait"/>
          <w:cols w:equalWidth="0" w:num="1">
            <w:col w:w="8100"/>
          </w:cols>
          <w:pgMar w:left="2180" w:top="1440" w:right="1620" w:bottom="707" w:gutter="0" w:footer="0" w:header="0"/>
        </w:sectPr>
      </w:pPr>
      <w:r>
        <w:rPr>
          <w:sz w:val="20"/>
          <w:szCs w:val="20"/>
          <w:color w:val="auto"/>
        </w:rPr>
        <mc:AlternateContent>
          <mc:Choice Requires="wps">
            <w:drawing>
              <wp:anchor simplePos="0" relativeHeight="251657728" behindDoc="1" locked="0" layoutInCell="0" allowOverlap="1">
                <wp:simplePos x="0" y="0"/>
                <wp:positionH relativeFrom="column">
                  <wp:posOffset>-736600</wp:posOffset>
                </wp:positionH>
                <wp:positionV relativeFrom="paragraph">
                  <wp:posOffset>285115</wp:posOffset>
                </wp:positionV>
                <wp:extent cx="61061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06160" cy="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22.45pt" to="422.8pt,22.4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1402715</wp:posOffset>
                </wp:positionH>
                <wp:positionV relativeFrom="paragraph">
                  <wp:posOffset>914400</wp:posOffset>
                </wp:positionV>
                <wp:extent cx="396684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966845" cy="0"/>
                        </a:xfrm>
                        <a:prstGeom prst="line">
                          <a:avLst/>
                        </a:prstGeom>
                        <a:solidFill>
                          <a:srgbClr val="FFFFFF"/>
                        </a:solidFill>
                        <a:ln w="6108">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0.45pt,72pt" to="422.8pt,72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1402715</wp:posOffset>
                </wp:positionH>
                <wp:positionV relativeFrom="paragraph">
                  <wp:posOffset>1543685</wp:posOffset>
                </wp:positionV>
                <wp:extent cx="396684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966845" cy="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0.45pt,121.55pt" to="422.8pt,121.5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1402715</wp:posOffset>
                </wp:positionH>
                <wp:positionV relativeFrom="paragraph">
                  <wp:posOffset>2173605</wp:posOffset>
                </wp:positionV>
                <wp:extent cx="396684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966845" cy="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0.45pt,171.15pt" to="422.8pt,171.1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1405890</wp:posOffset>
                </wp:positionH>
                <wp:positionV relativeFrom="paragraph">
                  <wp:posOffset>281940</wp:posOffset>
                </wp:positionV>
                <wp:extent cx="0" cy="252412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52412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0.7pt,22.2pt" to="110.7pt,220.9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-736600</wp:posOffset>
                </wp:positionH>
                <wp:positionV relativeFrom="paragraph">
                  <wp:posOffset>2802890</wp:posOffset>
                </wp:positionV>
                <wp:extent cx="610616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06160" cy="0"/>
                        </a:xfrm>
                        <a:prstGeom prst="line">
                          <a:avLst/>
                        </a:prstGeom>
                        <a:solidFill>
                          <a:srgbClr val="FFFFFF"/>
                        </a:solidFill>
                        <a:ln w="6108">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220.7pt" to="422.8pt,220.7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172720</wp:posOffset>
                </wp:positionH>
                <wp:positionV relativeFrom="paragraph">
                  <wp:posOffset>281940</wp:posOffset>
                </wp:positionV>
                <wp:extent cx="0" cy="2524125"/>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52412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6pt,22.2pt" to="13.6pt,220.9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-733425</wp:posOffset>
                </wp:positionH>
                <wp:positionV relativeFrom="paragraph">
                  <wp:posOffset>281940</wp:posOffset>
                </wp:positionV>
                <wp:extent cx="0" cy="299783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99783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7.7499pt,22.2pt" to="-57.7499pt,258.2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5367020</wp:posOffset>
                </wp:positionH>
                <wp:positionV relativeFrom="paragraph">
                  <wp:posOffset>281940</wp:posOffset>
                </wp:positionV>
                <wp:extent cx="0" cy="2997835"/>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99783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22.6pt,22.2pt" to="422.6pt,258.25pt" o:allowincell="f" strokecolor="#000000" strokeweight="0.48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spacing w:after="0" w:line="241" w:lineRule="auto"/>
        <w:rPr>
          <w:sz w:val="20"/>
          <w:szCs w:val="20"/>
          <w:color w:val="auto"/>
        </w:rPr>
      </w:pPr>
      <w:r>
        <w:rPr>
          <w:rFonts w:ascii="Calibri" w:cs="Calibri" w:eastAsia="Calibri" w:hAnsi="Calibri"/>
          <w:sz w:val="20"/>
          <w:szCs w:val="20"/>
          <w:b w:val="1"/>
          <w:bCs w:val="1"/>
          <w:color w:val="auto"/>
        </w:rPr>
        <w:t>Attestazione del rispetto degli obblighi di legge che in caso di inadempimento comportano la sanzione del divieto di erogazione della retribuzione accessoria</w:t>
      </w:r>
    </w:p>
    <w:p>
      <w:pPr>
        <w:spacing w:after="0" w:line="200" w:lineRule="exact"/>
        <w:rPr>
          <w:sz w:val="20"/>
          <w:szCs w:val="20"/>
          <w:color w:val="auto"/>
        </w:rPr>
      </w:pPr>
      <w:r>
        <w:rPr>
          <w:sz w:val="20"/>
          <w:szCs w:val="20"/>
          <w:color w:val="auto"/>
        </w:rPr>
        <w:br w:type="column"/>
      </w:r>
    </w:p>
    <w:p>
      <w:pPr>
        <w:spacing w:after="0" w:line="252" w:lineRule="exact"/>
        <w:rPr>
          <w:sz w:val="20"/>
          <w:szCs w:val="20"/>
          <w:color w:val="auto"/>
        </w:rPr>
      </w:pPr>
    </w:p>
    <w:p>
      <w:pPr>
        <w:spacing w:after="0"/>
        <w:rPr>
          <w:sz w:val="20"/>
          <w:szCs w:val="20"/>
          <w:color w:val="auto"/>
        </w:rPr>
      </w:pPr>
      <w:r>
        <w:rPr>
          <w:rFonts w:ascii="Calibri" w:cs="Calibri" w:eastAsia="Calibri" w:hAnsi="Calibri"/>
          <w:sz w:val="20"/>
          <w:szCs w:val="20"/>
          <w:color w:val="auto"/>
        </w:rPr>
        <w:t>È stato adottato il Piano della performance previsto dall’art. 10 del d.lgs.</w:t>
      </w:r>
    </w:p>
    <w:p>
      <w:pPr>
        <w:spacing w:after="0"/>
        <w:rPr>
          <w:sz w:val="20"/>
          <w:szCs w:val="20"/>
          <w:color w:val="auto"/>
        </w:rPr>
      </w:pPr>
      <w:r>
        <w:rPr>
          <w:rFonts w:ascii="Calibri" w:cs="Calibri" w:eastAsia="Calibri" w:hAnsi="Calibri"/>
          <w:sz w:val="20"/>
          <w:szCs w:val="20"/>
          <w:color w:val="auto"/>
        </w:rPr>
        <w:t>150/2009</w:t>
      </w:r>
    </w:p>
    <w:p>
      <w:pPr>
        <w:spacing w:after="0" w:line="100"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pacing w:after="0" w:line="150" w:lineRule="exact"/>
        <w:rPr>
          <w:sz w:val="20"/>
          <w:szCs w:val="20"/>
          <w:color w:val="auto"/>
        </w:rPr>
      </w:pPr>
    </w:p>
    <w:p>
      <w:pPr>
        <w:spacing w:after="0" w:line="247" w:lineRule="auto"/>
        <w:rPr>
          <w:sz w:val="20"/>
          <w:szCs w:val="20"/>
          <w:color w:val="auto"/>
        </w:rPr>
      </w:pPr>
      <w:r>
        <w:rPr>
          <w:rFonts w:ascii="Calibri" w:cs="Calibri" w:eastAsia="Calibri" w:hAnsi="Calibri"/>
          <w:sz w:val="20"/>
          <w:szCs w:val="20"/>
          <w:color w:val="auto"/>
        </w:rPr>
        <w:t>È stato adottato il Programma triennale per la trasparenza e l’integrità previsto dall’art. 11, comma 2 del d.lgs. 150/2009</w:t>
      </w:r>
    </w:p>
    <w:p>
      <w:pPr>
        <w:spacing w:after="0" w:line="8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pacing w:after="0" w:line="150" w:lineRule="exact"/>
        <w:rPr>
          <w:sz w:val="20"/>
          <w:szCs w:val="20"/>
          <w:color w:val="auto"/>
        </w:rPr>
      </w:pPr>
    </w:p>
    <w:p>
      <w:pPr>
        <w:spacing w:after="0" w:line="248" w:lineRule="auto"/>
        <w:rPr>
          <w:sz w:val="20"/>
          <w:szCs w:val="20"/>
          <w:color w:val="auto"/>
        </w:rPr>
      </w:pPr>
      <w:r>
        <w:rPr>
          <w:rFonts w:ascii="Calibri" w:cs="Calibri" w:eastAsia="Calibri" w:hAnsi="Calibri"/>
          <w:sz w:val="20"/>
          <w:szCs w:val="20"/>
          <w:color w:val="auto"/>
        </w:rPr>
        <w:t>È stato assolto l’obbligo di pubblicazione di cui ai commi 6 e 8 dell’art. 11 del d.lgs. 150/2009</w:t>
      </w:r>
    </w:p>
    <w:p>
      <w:pPr>
        <w:spacing w:after="0" w:line="84"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pacing w:after="0" w:line="150" w:lineRule="exact"/>
        <w:rPr>
          <w:sz w:val="20"/>
          <w:szCs w:val="20"/>
          <w:color w:val="auto"/>
        </w:rPr>
      </w:pPr>
    </w:p>
    <w:p>
      <w:pPr>
        <w:spacing w:after="0" w:line="247" w:lineRule="auto"/>
        <w:rPr>
          <w:sz w:val="20"/>
          <w:szCs w:val="20"/>
          <w:color w:val="auto"/>
        </w:rPr>
      </w:pPr>
      <w:r>
        <w:rPr>
          <w:rFonts w:ascii="Calibri" w:cs="Calibri" w:eastAsia="Calibri" w:hAnsi="Calibri"/>
          <w:sz w:val="20"/>
          <w:szCs w:val="20"/>
          <w:color w:val="auto"/>
        </w:rPr>
        <w:t>La Relazione della Performance è stata validata dall’OIV ai sensi dell’articolo 14, comma 6. del d.lgs. n. 150/2009?</w:t>
      </w:r>
    </w:p>
    <w:p>
      <w:pPr>
        <w:spacing w:after="0" w:line="8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ectPr>
          <w:pgSz w:w="11900" w:h="16838" w:orient="portrait"/>
          <w:cols w:equalWidth="0" w:num="2">
            <w:col w:w="1700" w:space="240"/>
            <w:col w:w="6020"/>
          </w:cols>
          <w:pgMar w:left="2560" w:top="1440" w:right="1380" w:bottom="707" w:gutter="0" w:footer="0" w:header="0"/>
          <w:type w:val="continuous"/>
        </w:sectPr>
      </w:pPr>
    </w:p>
    <w:p>
      <w:pPr>
        <w:spacing w:after="0" w:line="150" w:lineRule="exact"/>
        <w:rPr>
          <w:sz w:val="20"/>
          <w:szCs w:val="20"/>
          <w:color w:val="auto"/>
        </w:rPr>
      </w:pPr>
    </w:p>
    <w:p>
      <w:pPr>
        <w:spacing w:after="0"/>
        <w:rPr>
          <w:sz w:val="20"/>
          <w:szCs w:val="20"/>
          <w:color w:val="auto"/>
        </w:rPr>
      </w:pPr>
      <w:r>
        <w:rPr>
          <w:rFonts w:ascii="Calibri" w:cs="Calibri" w:eastAsia="Calibri" w:hAnsi="Calibri"/>
          <w:sz w:val="20"/>
          <w:szCs w:val="20"/>
          <w:b w:val="1"/>
          <w:bCs w:val="1"/>
          <w:color w:val="auto"/>
        </w:rPr>
        <w:t>Eventuali osservazioni</w:t>
      </w:r>
    </w:p>
    <w:p>
      <w:pPr>
        <w:spacing w:after="0" w:line="100"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atto unilaterale disposto ai sensi dell’art. 40, comma 3 ter, del D.lgs. n.165/2001</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-76200</wp:posOffset>
                </wp:positionH>
                <wp:positionV relativeFrom="paragraph">
                  <wp:posOffset>92710</wp:posOffset>
                </wp:positionV>
                <wp:extent cx="61061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06160" cy="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6pt,7.3pt" to="474.8pt,7.3pt" o:allowincell="f" strokecolor="#000000" strokeweight="0.4799pt"/>
            </w:pict>
          </mc:Fallback>
        </mc:AlternateContent>
      </w:r>
    </w:p>
    <w:p>
      <w:pPr>
        <w:spacing w:after="0" w:line="200" w:lineRule="exact"/>
        <w:rPr>
          <w:sz w:val="20"/>
          <w:szCs w:val="20"/>
          <w:color w:val="auto"/>
        </w:rPr>
      </w:pPr>
    </w:p>
    <w:p>
      <w:pPr>
        <w:spacing w:after="0" w:line="373" w:lineRule="exact"/>
        <w:rPr>
          <w:sz w:val="20"/>
          <w:szCs w:val="20"/>
          <w:color w:val="auto"/>
        </w:rPr>
      </w:pPr>
    </w:p>
    <w:p>
      <w:pPr>
        <w:jc w:val="both"/>
        <w:ind w:left="360" w:hanging="356"/>
        <w:spacing w:after="0" w:line="246" w:lineRule="auto"/>
        <w:rPr>
          <w:sz w:val="20"/>
          <w:szCs w:val="20"/>
          <w:color w:val="auto"/>
        </w:rPr>
      </w:pPr>
      <w:r>
        <w:rPr>
          <w:rFonts w:ascii="Calibri" w:cs="Calibri" w:eastAsia="Calibri" w:hAnsi="Calibri"/>
          <w:sz w:val="22"/>
          <w:szCs w:val="22"/>
          <w:b w:val="1"/>
          <w:bCs w:val="1"/>
          <w:i w:val="1"/>
          <w:iCs w:val="1"/>
          <w:color w:val="auto"/>
        </w:rPr>
        <w:t>I.2 - Modulo 2 Illustrazione dell’articolato del Provvedimento (Attestazione della compatibilità con i vincoli derivanti da norme di legge e di contratto nazionale –modalità di utilizzo delle risorse accessorie - risultati attesi - altre informazioni utili)</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-22225</wp:posOffset>
                </wp:positionH>
                <wp:positionV relativeFrom="paragraph">
                  <wp:posOffset>8890</wp:posOffset>
                </wp:positionV>
                <wp:extent cx="61563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56325" cy="0"/>
                        </a:xfrm>
                        <a:prstGeom prst="line">
                          <a:avLst/>
                        </a:prstGeom>
                        <a:solidFill>
                          <a:srgbClr val="FFFFFF"/>
                        </a:solidFill>
                        <a:ln w="6096">
                          <a:solidFill>
                            <a:srgbClr val="C0C0C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7499pt,0.7pt" to="483pt,0.7pt" o:allowincell="f" strokecolor="#C0C0C0" strokeweight="0.48pt"/>
            </w:pict>
          </mc:Fallback>
        </mc:AlternateContent>
      </w:r>
    </w:p>
    <w:p>
      <w:pPr>
        <w:spacing w:after="0" w:line="213"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La presente relazione illustrativa viene prodotta ai sensi dell’art. 40 bis, comma 5, del D.Lgs. 30 marzo 2001, n. 165 come modificato dal D.Lgs. n. 150/2009 a corredo dell’Ipotesi di Atto Unilaterale dell’Ufficio Scolastico Regionale per l’Abruzzo – adottato ai sensi dell’art.40,comma 3 ter del D.lgs n.165/2001 - per la ripartizione del fondo regionale per la retribuzione di posizione e di risultato dei Dirigenti Scolastici della regione Abruzzo per l’anno scolastico 2015/2016.</w:t>
      </w:r>
    </w:p>
    <w:p>
      <w:pPr>
        <w:spacing w:after="0" w:line="80" w:lineRule="exact"/>
        <w:rPr>
          <w:sz w:val="20"/>
          <w:szCs w:val="20"/>
          <w:color w:val="auto"/>
        </w:rPr>
      </w:pPr>
    </w:p>
    <w:p>
      <w:pPr>
        <w:jc w:val="both"/>
        <w:spacing w:after="0" w:line="310" w:lineRule="auto"/>
        <w:rPr>
          <w:sz w:val="20"/>
          <w:szCs w:val="20"/>
          <w:color w:val="auto"/>
        </w:rPr>
      </w:pPr>
      <w:r>
        <w:rPr>
          <w:rFonts w:ascii="Times New Roman" w:cs="Times New Roman" w:eastAsia="Times New Roman" w:hAnsi="Times New Roman"/>
          <w:sz w:val="22"/>
          <w:szCs w:val="22"/>
          <w:color w:val="auto"/>
        </w:rPr>
        <w:t>Nell’incontro in data 26 settembre 2016 tra le Organizzazioni Sindacali regionali dell’Area V della Dirigenza scolastica (ANP-CIDA, FLC-CGIL, CISL-SCUOLA, UIL-SCUOLA e SNALS-CONFSAL) e la Delegazione di parte pubblica - individuata con provvedimento del Direttore Generale prot. n. AOODRAB 202 del 10/01/2013 - non si è raggiunto un accordo per la sottoscrizione di una Ipotesi di Contratto Integrativo Regionale poiché le suddette OO.SS. hanno espresso la volontà di non sottoscrivere alcun contratto integrativo in merito alle retribuzioni di posizione e di risultato dei dirigenti scolastici.</w:t>
      </w:r>
    </w:p>
    <w:p>
      <w:pPr>
        <w:spacing w:after="0" w:line="80"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L’Ufficio Scolastico Regionale, preso atto di tale volontà, procede ai sensi dell’art. 40, comma 3 ter, del D.lgs. n.165/2001 con atto unilaterale alla ripartizione del fondo regionale per la retribuzione di posizione e di risultato dei Dirigenti Scolastici della regione Abruzzo per l’anno scolastico 2015/2016.</w:t>
      </w:r>
    </w:p>
    <w:p>
      <w:pPr>
        <w:spacing w:after="0" w:line="106"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2</w:t>
      </w:r>
    </w:p>
    <w:p>
      <w:pPr>
        <w:sectPr>
          <w:pgSz w:w="11900" w:h="16838" w:orient="portrait"/>
          <w:cols w:equalWidth="0" w:num="1">
            <w:col w:w="9640"/>
          </w:cols>
          <w:pgMar w:left="1140" w:top="1440" w:right="1120" w:bottom="707" w:gutter="0" w:footer="0" w:header="0"/>
          <w:type w:val="continuous"/>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0"/>
          <w:szCs w:val="20"/>
          <w:color w:val="auto"/>
        </w:rPr>
      </w:pPr>
    </w:p>
    <w:p>
      <w:pPr>
        <w:ind w:left="232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279" w:lineRule="exact"/>
        <w:rPr>
          <w:sz w:val="20"/>
          <w:szCs w:val="20"/>
          <w:color w:val="auto"/>
        </w:rPr>
      </w:pPr>
    </w:p>
    <w:p>
      <w:pPr>
        <w:jc w:val="both"/>
        <w:spacing w:after="0" w:line="310" w:lineRule="auto"/>
        <w:rPr>
          <w:sz w:val="20"/>
          <w:szCs w:val="20"/>
          <w:color w:val="auto"/>
        </w:rPr>
      </w:pPr>
      <w:r>
        <w:rPr>
          <w:rFonts w:ascii="Times New Roman" w:cs="Times New Roman" w:eastAsia="Times New Roman" w:hAnsi="Times New Roman"/>
          <w:sz w:val="22"/>
          <w:szCs w:val="22"/>
          <w:color w:val="auto"/>
        </w:rPr>
        <w:t>L’Ipotesi di ripartizione è stata predisposta in attuazione degli obblighi contrattuali richiamati dal CCNL dell’Area V del 15 luglio 2010 - con particolare riguardo agli articoli 6 e 26 - e tenendo conto dei criteri concordati in seno alla Conferenza di servizi del 04/08/2016, al fine di uniformare il trattamento giuridico ed economico dei dirigenti scolastici della Regione Abruzzo a quello di tutti i Dirigenti scolastici a livello nazionale. La ripartizione e l’utilizzo delle risorse del fondo regionale seguono l’articolazione dell’anno scolastico (1° settembre 2015 – 31 agosto 2016).</w:t>
      </w:r>
    </w:p>
    <w:p>
      <w:pPr>
        <w:spacing w:after="0" w:line="80"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Nell’anno scolastico 2015/2016 in Abruzzo risultano n.201 istituzioni scolastiche in organico di diritto e n.183 dirigenti scolastici titolari, di cui n. 176 dirigenti in servizio per l’intero anno scolastico, n. 4 dirigenti cessati nel corso dell’anno scolastico e n. 3 dirigenti con congedo ai sensi dell’art.32 del D.Lgs n. 151/2001 retribuito al 30%).</w:t>
      </w:r>
    </w:p>
    <w:p>
      <w:pPr>
        <w:spacing w:after="0" w:line="76" w:lineRule="exact"/>
        <w:rPr>
          <w:sz w:val="20"/>
          <w:szCs w:val="20"/>
          <w:color w:val="auto"/>
        </w:rPr>
      </w:pPr>
    </w:p>
    <w:p>
      <w:pPr>
        <w:jc w:val="both"/>
        <w:spacing w:after="0" w:line="310" w:lineRule="auto"/>
        <w:rPr>
          <w:sz w:val="20"/>
          <w:szCs w:val="20"/>
          <w:color w:val="auto"/>
        </w:rPr>
      </w:pPr>
      <w:r>
        <w:rPr>
          <w:rFonts w:ascii="Times New Roman" w:cs="Times New Roman" w:eastAsia="Times New Roman" w:hAnsi="Times New Roman"/>
          <w:sz w:val="22"/>
          <w:szCs w:val="22"/>
          <w:color w:val="auto"/>
        </w:rPr>
        <w:t>Il fondo regionale assegnato dal MIUR con DDG AOODRUF prot. n.194 del’08/03/2016 (comunicato in data 29/04/2016 con nota prot. AOODGRUF n. 6482) all’Ufficio Scolastico Regionale per l’Abruzzo in base all’organico di diritto dei Dirigenti Scolastici per l’a.s. 2015/2016 è pari ad € 2.575.842,62 con destinazione per la determinazione della retribuzione di posizione e di risultato ed € 640.237,83 con destinazione esclusiva per la retribuzione di risultato. Il Fondo viene integrato dalle risorse derivanti dagli incarichi aggiuntivi ai sensi dell’art. 10 del CCNL Area V del 15 luglio 2010 pari ad € 6.132,37.</w:t>
      </w:r>
    </w:p>
    <w:p>
      <w:pPr>
        <w:spacing w:after="0" w:line="80"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Pertanto il fondo regionale per la determinazione della retribuzione di posizione e di risultato relativo all’anno scolastico 2015-2016 viene quantificato in complessivi € 2.581.974,99 (€ 2.575.842,62 + € 6.132,37).</w:t>
      </w:r>
    </w:p>
    <w:p>
      <w:pPr>
        <w:spacing w:after="0" w:line="68"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Come previsto dall’art.4 – comma 1- del C.I.N. del 22/02/2007 relativo al personale dell’area V della dirigenza scolastica, il fondo è destinato per l’85% delle risorse alla retribuzione di posizione e per il restante 15% alla retribuzione di risultato.</w:t>
      </w:r>
    </w:p>
    <w:p>
      <w:pPr>
        <w:spacing w:after="0" w:line="68"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Ai fini della determinazione della quota variabile della retribuzione di posizione e della retribuzione di risultato le Istituzioni scolastiche della regione sono classificate in tre fasce di complessità di cui all’art. 6 del CCNL dell’Area V del 15 luglio 2010. Il rapporto retributivo annuo tra la fascia più alta e quella più bassa è di 1/1,86, per la fascia intermedia proporzionalmente il rapporto è di 1/1,43.</w:t>
      </w:r>
    </w:p>
    <w:p>
      <w:pPr>
        <w:spacing w:after="0" w:line="78"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Le nuove fasce di complessità delle istituzioni scolastiche della regione approvate con decreto prot.n° AOODRAB 5161 del 27/07/2015, sono calcolate secondo le seguenti percentuali di raggruppamento stabilite con Contratto Integrativo Regionale sottoscritto 13 febbraio 2013: 25% in prima fascia, 60% in seconda fascia, 15% in terza fascia.</w:t>
      </w:r>
    </w:p>
    <w:p>
      <w:pPr>
        <w:spacing w:after="0" w:line="76" w:lineRule="exact"/>
        <w:rPr>
          <w:sz w:val="20"/>
          <w:szCs w:val="20"/>
          <w:color w:val="auto"/>
        </w:rPr>
      </w:pPr>
    </w:p>
    <w:p>
      <w:pPr>
        <w:jc w:val="both"/>
        <w:spacing w:after="0" w:line="310" w:lineRule="auto"/>
        <w:rPr>
          <w:sz w:val="20"/>
          <w:szCs w:val="20"/>
          <w:color w:val="auto"/>
        </w:rPr>
      </w:pPr>
      <w:r>
        <w:rPr>
          <w:rFonts w:ascii="Times New Roman" w:cs="Times New Roman" w:eastAsia="Times New Roman" w:hAnsi="Times New Roman"/>
          <w:sz w:val="22"/>
          <w:szCs w:val="22"/>
          <w:color w:val="auto"/>
        </w:rPr>
        <w:t>In prima fascia risultano n. 51 posizioni (50 dirigenti titolari per l’intero anno scolastico di cui 1 dirigente che in vigenza di contratto mantiene la 1^ fascia + 1 dirigente con congedo ai sensi dell’art.32 del D.Lgs n. 151/2001 retribuito al 30%); in seconda fascia risultano n. 114 posizioni (110 dirigenti titolari per l’intero</w:t>
      </w:r>
    </w:p>
    <w:p>
      <w:pPr>
        <w:spacing w:after="0" w:line="2"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3</w:t>
      </w:r>
    </w:p>
    <w:p>
      <w:pPr>
        <w:sectPr>
          <w:pgSz w:w="11900" w:h="16838" w:orient="portrait"/>
          <w:cols w:equalWidth="0" w:num="1">
            <w:col w:w="9640"/>
          </w:cols>
          <w:pgMar w:left="1140" w:top="1440" w:right="1120" w:bottom="707"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0"/>
          <w:szCs w:val="20"/>
          <w:color w:val="auto"/>
        </w:rPr>
      </w:pPr>
    </w:p>
    <w:p>
      <w:pPr>
        <w:ind w:left="232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279"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anno scolastico + 2 dirigenti cessati nel corso dell’anno + 2 dirigenti con congedo ai sensi dell’art.32 del D.Lgs n. 151/2001 retribuito al 30%); in terza fascia risultano n.18 posizioni (16 dirigenti titolari per l’intero anno scolastico + 2 dirigenti cessati nel corso dell’anno).</w:t>
      </w:r>
    </w:p>
    <w:p>
      <w:pPr>
        <w:spacing w:after="0" w:line="68"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La retribuzione di posizione parte fissa viene calcolata in ragione del servizio prestato (n. 176 dirigenti in servizio per l’intero anno scolastico, n. 4 dirigenti cessati nel corso dell’anno scolastico e n. 3 dirigenti con congedo ai sensi dell’art.32 del D.Lgs n. 151/2001 retribuito al 30%).</w:t>
      </w:r>
    </w:p>
    <w:p>
      <w:pPr>
        <w:spacing w:after="0" w:line="68"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Dai calcoli effettuati in applicazione delle norme contrattuali ai fini della retribuzione di posizione parte variabile per l’anno scolastico 2015/2016 risulta disponibile l’importo di € 1.414.169,36. Tale budget determina per ciascuna fascia importi annui inferiori a quelli percepiti in acconto. Si destina l’intera somma residua non utilizzata – pari ad € 139.098,63 - per integrare il budget in modo da avvicinare gli importi della retribuzione di posizione parte variabile a quelli già percepiti in acconto.</w:t>
      </w:r>
    </w:p>
    <w:p>
      <w:pPr>
        <w:spacing w:after="0" w:line="82" w:lineRule="exact"/>
        <w:rPr>
          <w:sz w:val="20"/>
          <w:szCs w:val="20"/>
          <w:color w:val="auto"/>
        </w:rPr>
      </w:pPr>
    </w:p>
    <w:p>
      <w:pPr>
        <w:jc w:val="both"/>
        <w:spacing w:after="0" w:line="310" w:lineRule="auto"/>
        <w:rPr>
          <w:sz w:val="20"/>
          <w:szCs w:val="20"/>
          <w:color w:val="auto"/>
        </w:rPr>
      </w:pPr>
      <w:r>
        <w:rPr>
          <w:rFonts w:ascii="Times New Roman" w:cs="Times New Roman" w:eastAsia="Times New Roman" w:hAnsi="Times New Roman"/>
          <w:sz w:val="22"/>
          <w:szCs w:val="22"/>
          <w:color w:val="auto"/>
        </w:rPr>
        <w:t>Il budget complessivo destinato alla retribuzione di posizione parte variabile pertanto passa ad € 1.553.267,98. Gli importi annui derivanti dalla ipotesi di ripartizione, rispettivamente di € 10.602,24 per la 1^ fascia, € 8.151,18 per la 2^ fascia ed € 5.700,13 per la 3^ fascia non sono superiori a quelli percepiti nell’anno 2010 (art.9, comma 1, del D.L. n.78/2010 e circolare MEF/RGS n.12/2011). Nell’anno scolastico 2010/2011 (C.I.R. 3/12/2010) gli importi erano rispettivamente di € 11.445,78 per la 1^ fascia, € 8.804,44 per la 2^ fascia ed € 6.163,11 per la 3^ fascia.</w:t>
      </w:r>
    </w:p>
    <w:p>
      <w:pPr>
        <w:spacing w:after="0" w:line="80"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Gli importi delle retribuzioni di posizione parte variabile sono calcolati in ragione del servizio prestato (n. 176 dirigenti in servizio per l’intero anno scolastico, n. 4 dirigenti cessati nel corso dell’anno scolastico e n. 3 dirigenti con congedo ai sensi dell’art.32 del D.Lgs n. 151/2001 retribuito al 30%) e non si determinano somme residue per integrare il budget finalizzato alla retribuzione di risultato e al pagamento delle reggenze.</w:t>
      </w:r>
    </w:p>
    <w:p>
      <w:pPr>
        <w:spacing w:after="0" w:line="76"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Il budget finalizzato alla retribuzione di risultato ed al pagamento delle reggenze determinato in ragione del 15% del fondo ammonta ad € 387.296,25; dal budget così determinato € 127.702,02 sono destinati a retribuire le reggenze.</w:t>
      </w:r>
    </w:p>
    <w:p>
      <w:pPr>
        <w:spacing w:after="0" w:line="68"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L’integrazione della retribuzione di risultato attribuita per le reggenze, secondo quanto stabilito dall’art. 2, comma 2, del Contratto Integrativo Nazionale sottoscritto il 22 febbraio 2007, è calcolata nella misura dell’80% dell’importo della retribuzione di posizione parte variabile corrispondente alla fascia dell’Istituzione scolastica assegnata in reggenza e determinato in relazione alla durata della reggenza, considerando pari ad un mese la frazione di servizio continuativo non inferiore a 16 giorni.</w:t>
      </w:r>
    </w:p>
    <w:p>
      <w:pPr>
        <w:spacing w:after="0" w:line="82" w:lineRule="exact"/>
        <w:rPr>
          <w:sz w:val="20"/>
          <w:szCs w:val="20"/>
          <w:color w:val="auto"/>
        </w:rPr>
      </w:pPr>
    </w:p>
    <w:p>
      <w:pPr>
        <w:jc w:val="both"/>
        <w:spacing w:after="0" w:line="308" w:lineRule="auto"/>
        <w:rPr>
          <w:sz w:val="20"/>
          <w:szCs w:val="20"/>
          <w:color w:val="auto"/>
        </w:rPr>
      </w:pPr>
      <w:r>
        <w:rPr>
          <w:rFonts w:ascii="Times New Roman" w:cs="Times New Roman" w:eastAsia="Times New Roman" w:hAnsi="Times New Roman"/>
          <w:sz w:val="22"/>
          <w:szCs w:val="22"/>
          <w:color w:val="auto"/>
        </w:rPr>
        <w:t>Nell’anno scolastico 2015/2016 sono stati conferiti n. 18 incarichi di reggenza di durata annuale (di cui n. 12 su istituzioni scolastiche di 3^ fascia e n. 6 su istituzioni scolastiche di 2^ fascia). Sono stati conferiti anche n. 8 incarichi di reggenza temporanei (di cui n. 2 su istituzioni scolastiche di 3^ fascia, n. 5 su istituzioni scolastiche di 2^ fascia e n. 1 su istituzioni scolastiche di 1^ fascia).</w:t>
      </w:r>
    </w:p>
    <w:p>
      <w:pPr>
        <w:spacing w:after="0" w:line="3"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4</w:t>
      </w:r>
    </w:p>
    <w:p>
      <w:pPr>
        <w:sectPr>
          <w:pgSz w:w="11900" w:h="16838" w:orient="portrait"/>
          <w:cols w:equalWidth="0" w:num="1">
            <w:col w:w="9640"/>
          </w:cols>
          <w:pgMar w:left="1140" w:top="1440" w:right="1120" w:bottom="707"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0"/>
          <w:szCs w:val="20"/>
          <w:color w:val="auto"/>
        </w:rPr>
      </w:pPr>
    </w:p>
    <w:p>
      <w:pPr>
        <w:ind w:left="232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279"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Il budget finalizzato alla retribuzione di risultato (determinato in ragione del 15% del fondo detratti € 127.702,02 destinati a retribuire le reggenze) ammonta ad € 259.594,23; lo stesso è integrato da € 640.237,83 con destinazione esclusiva per la retribuzione di risultato, per un totale complessivo di € 899.832,06.</w:t>
      </w:r>
    </w:p>
    <w:p>
      <w:pPr>
        <w:spacing w:after="0" w:line="68"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Per quanto concerne la retribuzione di risultato, nelle more dell’adozione del Sistema di valutazione dei dirigenti scolastici previsto dal comma 93 della legge n.107 del 16/07/2016, la retribuzione di risultato è definita in relazione alle fasce di complessità delle istituzioni scolastiche e calcolata in ragione del servizio prestato (n. 176 dirigenti in servizio per l’intero anno scolastico, n. 4 dirigenti cessati nel corso dell’anno scolastico e n. 3 dirigenti con congedo ai sensi dell’art.32 del D.Lgs n. 151/2001 retribuito al 30%).</w:t>
      </w:r>
    </w:p>
    <w:p>
      <w:pPr>
        <w:spacing w:after="0" w:line="82" w:lineRule="exact"/>
        <w:rPr>
          <w:sz w:val="20"/>
          <w:szCs w:val="20"/>
          <w:color w:val="auto"/>
        </w:rPr>
      </w:pPr>
    </w:p>
    <w:p>
      <w:pPr>
        <w:jc w:val="both"/>
        <w:spacing w:after="0" w:line="319" w:lineRule="auto"/>
        <w:rPr>
          <w:sz w:val="20"/>
          <w:szCs w:val="20"/>
          <w:color w:val="auto"/>
        </w:rPr>
      </w:pPr>
      <w:r>
        <w:rPr>
          <w:rFonts w:ascii="Times New Roman" w:cs="Times New Roman" w:eastAsia="Times New Roman" w:hAnsi="Times New Roman"/>
          <w:sz w:val="22"/>
          <w:szCs w:val="22"/>
          <w:color w:val="auto"/>
        </w:rPr>
        <w:t>I criteri e le modalità di utilizzo del fondo regionale definite dal presente provvedimento si applicano ai dirigenti scolastici in servizio nell’a.s. 2015/2016, effettuando i conguagli positivi e/o negativi relativamente alla parte economica.</w:t>
      </w:r>
    </w:p>
    <w:p>
      <w:pPr>
        <w:spacing w:after="0" w:line="71" w:lineRule="exact"/>
        <w:rPr>
          <w:sz w:val="20"/>
          <w:szCs w:val="20"/>
          <w:color w:val="auto"/>
        </w:rPr>
      </w:pPr>
    </w:p>
    <w:p>
      <w:pPr>
        <w:jc w:val="both"/>
        <w:spacing w:after="0" w:line="336" w:lineRule="auto"/>
        <w:rPr>
          <w:sz w:val="20"/>
          <w:szCs w:val="20"/>
          <w:color w:val="auto"/>
        </w:rPr>
      </w:pPr>
      <w:r>
        <w:rPr>
          <w:rFonts w:ascii="Times New Roman" w:cs="Times New Roman" w:eastAsia="Times New Roman" w:hAnsi="Times New Roman"/>
          <w:sz w:val="22"/>
          <w:szCs w:val="22"/>
          <w:color w:val="auto"/>
        </w:rPr>
        <w:t>Il provvedimento di ripartizione del fondo è stato redatto nel rispetto della normativa vigente in materia e l’applicazione dello stesso non comporta oneri finanziari superiori a quelli previsti.</w:t>
      </w:r>
    </w:p>
    <w:p>
      <w:pPr>
        <w:spacing w:after="0" w:line="200" w:lineRule="exact"/>
        <w:rPr>
          <w:sz w:val="20"/>
          <w:szCs w:val="20"/>
          <w:color w:val="auto"/>
        </w:rPr>
      </w:pPr>
    </w:p>
    <w:p>
      <w:pPr>
        <w:spacing w:after="0" w:line="292" w:lineRule="exact"/>
        <w:rPr>
          <w:sz w:val="20"/>
          <w:szCs w:val="20"/>
          <w:color w:val="auto"/>
        </w:rPr>
      </w:pPr>
    </w:p>
    <w:p>
      <w:pPr>
        <w:ind w:left="5660"/>
        <w:spacing w:after="0"/>
        <w:rPr>
          <w:sz w:val="20"/>
          <w:szCs w:val="20"/>
          <w:color w:val="auto"/>
        </w:rPr>
      </w:pPr>
      <w:r>
        <w:rPr>
          <w:rFonts w:ascii="Times New Roman" w:cs="Times New Roman" w:eastAsia="Times New Roman" w:hAnsi="Times New Roman"/>
          <w:sz w:val="22"/>
          <w:szCs w:val="22"/>
          <w:color w:val="auto"/>
        </w:rPr>
        <w:t>IL DIRETTORE GENERALE</w:t>
      </w:r>
    </w:p>
    <w:p>
      <w:pPr>
        <w:spacing w:after="0" w:line="186" w:lineRule="exact"/>
        <w:rPr>
          <w:sz w:val="20"/>
          <w:szCs w:val="20"/>
          <w:color w:val="auto"/>
        </w:rPr>
      </w:pPr>
    </w:p>
    <w:p>
      <w:pPr>
        <w:ind w:left="6160"/>
        <w:spacing w:after="0"/>
        <w:rPr>
          <w:sz w:val="20"/>
          <w:szCs w:val="20"/>
          <w:color w:val="auto"/>
        </w:rPr>
      </w:pPr>
      <w:r>
        <w:rPr>
          <w:rFonts w:ascii="Times New Roman" w:cs="Times New Roman" w:eastAsia="Times New Roman" w:hAnsi="Times New Roman"/>
          <w:sz w:val="22"/>
          <w:szCs w:val="22"/>
          <w:color w:val="auto"/>
        </w:rPr>
        <w:t>Ernesto Pellecchia</w:t>
      </w:r>
    </w:p>
    <w:p>
      <w:pPr>
        <w:spacing w:after="0" w:line="189" w:lineRule="exact"/>
        <w:rPr>
          <w:sz w:val="20"/>
          <w:szCs w:val="20"/>
          <w:color w:val="auto"/>
        </w:rPr>
      </w:pPr>
    </w:p>
    <w:p>
      <w:pPr>
        <w:ind w:left="7220" w:right="1240"/>
        <w:spacing w:after="0" w:line="246" w:lineRule="auto"/>
        <w:rPr>
          <w:sz w:val="20"/>
          <w:szCs w:val="20"/>
          <w:color w:val="auto"/>
        </w:rPr>
      </w:pPr>
      <w:r>
        <w:rPr>
          <w:rFonts w:ascii="Arial" w:cs="Arial" w:eastAsia="Arial" w:hAnsi="Arial"/>
          <w:sz w:val="18"/>
          <w:szCs w:val="18"/>
          <w:color w:val="auto"/>
        </w:rPr>
        <w:t>Firmato digitalmente da Ernesto Pellecchia</w:t>
      </w:r>
    </w:p>
    <w:p>
      <w:pPr>
        <w:spacing w:after="0" w:line="1" w:lineRule="exact"/>
        <w:rPr>
          <w:sz w:val="20"/>
          <w:szCs w:val="20"/>
          <w:color w:val="auto"/>
        </w:rPr>
      </w:pPr>
    </w:p>
    <w:p>
      <w:pPr>
        <w:ind w:left="7220" w:right="1180"/>
        <w:spacing w:after="0" w:line="351" w:lineRule="auto"/>
        <w:rPr>
          <w:sz w:val="20"/>
          <w:szCs w:val="20"/>
          <w:color w:val="auto"/>
        </w:rPr>
      </w:pPr>
      <w:r>
        <w:rPr>
          <w:rFonts w:ascii="Arial" w:cs="Arial" w:eastAsia="Arial" w:hAnsi="Arial"/>
          <w:sz w:val="15"/>
          <w:szCs w:val="15"/>
          <w:color w:val="auto"/>
        </w:rPr>
        <w:t>Data: 2016.11.23 09:19:10 +01'00'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5</w:t>
      </w:r>
    </w:p>
    <w:sectPr>
      <w:pgSz w:w="11900" w:h="16838" w:orient="portrait"/>
      <w:cols w:equalWidth="0" w:num="1">
        <w:col w:w="9640"/>
      </w:cols>
      <w:pgMar w:left="1140" w:top="1440" w:right="1120" w:bottom="707"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2016-11-23T11:31:40Z</dcterms:created>
  <dcterms:modified xsi:type="dcterms:W3CDTF">2016-11-23T11:31:40Z</dcterms:modified>
</cp:coreProperties>
</file>